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2A23" w14:textId="77777777" w:rsidR="005C670F" w:rsidRDefault="005C670F" w:rsidP="0028420C">
      <w:pPr>
        <w:jc w:val="center"/>
        <w:rPr>
          <w:u w:val="single"/>
          <w:lang w:val="en-US"/>
        </w:rPr>
      </w:pPr>
    </w:p>
    <w:p w14:paraId="48892FAC" w14:textId="2EA659CC" w:rsidR="005C670F" w:rsidRDefault="005C670F" w:rsidP="0028420C">
      <w:pPr>
        <w:jc w:val="center"/>
        <w:rPr>
          <w:u w:val="single"/>
          <w:lang w:val="en-US"/>
        </w:rPr>
      </w:pPr>
      <w:r w:rsidRPr="0028420C">
        <w:rPr>
          <w:u w:val="single"/>
          <w:lang w:val="en-US"/>
        </w:rPr>
        <w:t>Antimicrobial susceptibility surveillance</w:t>
      </w:r>
      <w:r>
        <w:rPr>
          <w:u w:val="single"/>
          <w:lang w:val="en-US"/>
        </w:rPr>
        <w:t xml:space="preserve"> of bloodstream pathogens</w:t>
      </w:r>
    </w:p>
    <w:p w14:paraId="7F39351B" w14:textId="77777777" w:rsidR="005C670F" w:rsidRDefault="005C670F" w:rsidP="0028420C">
      <w:pPr>
        <w:jc w:val="center"/>
        <w:rPr>
          <w:u w:val="single"/>
          <w:lang w:val="en-US"/>
        </w:rPr>
      </w:pPr>
    </w:p>
    <w:p w14:paraId="242ED11C" w14:textId="3ECFBD47" w:rsidR="005C670F" w:rsidRDefault="005C670F" w:rsidP="005C670F">
      <w:pPr>
        <w:rPr>
          <w:lang w:val="en-US"/>
        </w:rPr>
      </w:pPr>
    </w:p>
    <w:p w14:paraId="14B9A8B9" w14:textId="500BF8CC" w:rsidR="005C670F" w:rsidRDefault="005C670F" w:rsidP="005C670F">
      <w:r>
        <w:t>The South African Society of Clinical Microbiology</w:t>
      </w:r>
      <w:r w:rsidRPr="00392267">
        <w:rPr>
          <w:rFonts w:eastAsia="Times New Roman" w:cstheme="minorHAnsi"/>
          <w:color w:val="000000"/>
          <w:lang w:eastAsia="en-GB"/>
        </w:rPr>
        <w:t xml:space="preserve"> </w:t>
      </w:r>
      <w:r>
        <w:rPr>
          <w:rFonts w:eastAsia="Times New Roman" w:cstheme="minorHAnsi"/>
          <w:color w:val="000000"/>
          <w:lang w:eastAsia="en-GB"/>
        </w:rPr>
        <w:t>(</w:t>
      </w:r>
      <w:r w:rsidRPr="00392267">
        <w:rPr>
          <w:rFonts w:eastAsia="Times New Roman" w:cstheme="minorHAnsi"/>
          <w:color w:val="000000"/>
          <w:lang w:eastAsia="en-GB"/>
        </w:rPr>
        <w:t>SASCM</w:t>
      </w:r>
      <w:r>
        <w:rPr>
          <w:rFonts w:eastAsia="Times New Roman" w:cstheme="minorHAnsi"/>
          <w:color w:val="000000"/>
          <w:lang w:eastAsia="en-GB"/>
        </w:rPr>
        <w:t>)</w:t>
      </w:r>
      <w:r w:rsidRPr="00392267">
        <w:rPr>
          <w:rFonts w:eastAsia="Times New Roman" w:cstheme="minorHAnsi"/>
          <w:color w:val="000000"/>
          <w:lang w:eastAsia="en-GB"/>
        </w:rPr>
        <w:t xml:space="preserve"> is responsible for the oversight of antimicrobial surveillance activities and it is incumbent upon </w:t>
      </w:r>
      <w:r w:rsidR="004D7A7F">
        <w:rPr>
          <w:rFonts w:eastAsia="Times New Roman" w:cstheme="minorHAnsi"/>
          <w:color w:val="000000"/>
          <w:lang w:eastAsia="en-GB"/>
        </w:rPr>
        <w:t>the society</w:t>
      </w:r>
      <w:r w:rsidRPr="00392267">
        <w:rPr>
          <w:rFonts w:eastAsia="Times New Roman" w:cstheme="minorHAnsi"/>
          <w:color w:val="000000"/>
          <w:lang w:eastAsia="en-GB"/>
        </w:rPr>
        <w:t xml:space="preserve"> to educate and raise awareness around</w:t>
      </w:r>
      <w:r>
        <w:rPr>
          <w:rFonts w:eastAsia="Times New Roman" w:cstheme="minorHAnsi"/>
          <w:color w:val="000000"/>
          <w:lang w:eastAsia="en-GB"/>
        </w:rPr>
        <w:t xml:space="preserve"> antimicrobial susceptibility testing</w:t>
      </w:r>
      <w:r w:rsidRPr="00392267">
        <w:rPr>
          <w:rFonts w:eastAsia="Times New Roman" w:cstheme="minorHAnsi"/>
          <w:color w:val="000000"/>
          <w:lang w:eastAsia="en-GB"/>
        </w:rPr>
        <w:t xml:space="preserve"> issues</w:t>
      </w:r>
      <w:r>
        <w:rPr>
          <w:rFonts w:eastAsia="Times New Roman" w:cstheme="minorHAnsi"/>
          <w:color w:val="000000"/>
          <w:lang w:eastAsia="en-GB"/>
        </w:rPr>
        <w:t xml:space="preserve"> that </w:t>
      </w:r>
      <w:r w:rsidR="004D7A7F">
        <w:rPr>
          <w:rFonts w:eastAsia="Times New Roman" w:cstheme="minorHAnsi"/>
          <w:color w:val="000000"/>
          <w:lang w:eastAsia="en-GB"/>
        </w:rPr>
        <w:t>have implications for</w:t>
      </w:r>
      <w:r>
        <w:rPr>
          <w:rFonts w:eastAsia="Times New Roman" w:cstheme="minorHAnsi"/>
          <w:color w:val="000000"/>
          <w:lang w:eastAsia="en-GB"/>
        </w:rPr>
        <w:t xml:space="preserve"> </w:t>
      </w:r>
      <w:r w:rsidR="004D7A7F">
        <w:rPr>
          <w:rFonts w:eastAsia="Times New Roman" w:cstheme="minorHAnsi"/>
          <w:color w:val="000000"/>
          <w:lang w:eastAsia="en-GB"/>
        </w:rPr>
        <w:t xml:space="preserve">treatment and </w:t>
      </w:r>
      <w:r>
        <w:rPr>
          <w:rFonts w:eastAsia="Times New Roman" w:cstheme="minorHAnsi"/>
          <w:color w:val="000000"/>
          <w:lang w:eastAsia="en-GB"/>
        </w:rPr>
        <w:t>surveillance data</w:t>
      </w:r>
      <w:r w:rsidRPr="00392267">
        <w:rPr>
          <w:rFonts w:eastAsia="Times New Roman" w:cstheme="minorHAnsi"/>
          <w:color w:val="000000"/>
          <w:lang w:eastAsia="en-GB"/>
        </w:rPr>
        <w:t xml:space="preserve">. SASCM’s role in providing oversight and guidance </w:t>
      </w:r>
      <w:r>
        <w:rPr>
          <w:rFonts w:eastAsia="Times New Roman" w:cstheme="minorHAnsi"/>
          <w:color w:val="000000"/>
          <w:lang w:eastAsia="en-GB"/>
        </w:rPr>
        <w:t xml:space="preserve">on interpretation of antimicrobial susceptibility data </w:t>
      </w:r>
      <w:r w:rsidRPr="00392267">
        <w:rPr>
          <w:rFonts w:eastAsia="Times New Roman" w:cstheme="minorHAnsi"/>
          <w:color w:val="000000"/>
          <w:lang w:eastAsia="en-GB"/>
        </w:rPr>
        <w:t xml:space="preserve">remains </w:t>
      </w:r>
      <w:r>
        <w:rPr>
          <w:rFonts w:eastAsia="Times New Roman" w:cstheme="minorHAnsi"/>
          <w:color w:val="000000"/>
          <w:lang w:eastAsia="en-GB"/>
        </w:rPr>
        <w:t xml:space="preserve">critical against a backdrop of increasing complexity </w:t>
      </w:r>
      <w:r w:rsidR="003378CE">
        <w:rPr>
          <w:rFonts w:eastAsia="Times New Roman" w:cstheme="minorHAnsi"/>
          <w:color w:val="000000"/>
          <w:lang w:eastAsia="en-GB"/>
        </w:rPr>
        <w:t>in this field.</w:t>
      </w:r>
      <w:r>
        <w:t xml:space="preserve"> </w:t>
      </w:r>
    </w:p>
    <w:p w14:paraId="318A8FA8" w14:textId="77777777" w:rsidR="005C670F" w:rsidRDefault="005C670F" w:rsidP="005C670F">
      <w:pPr>
        <w:rPr>
          <w:rFonts w:eastAsia="Times New Roman" w:cstheme="minorHAnsi"/>
          <w:color w:val="000000"/>
          <w:lang w:eastAsia="en-GB"/>
        </w:rPr>
      </w:pPr>
    </w:p>
    <w:p w14:paraId="2BB600B1" w14:textId="4C74FA83" w:rsidR="005C670F" w:rsidRDefault="005C670F" w:rsidP="005C670F">
      <w:pPr>
        <w:rPr>
          <w:rFonts w:eastAsia="Times New Roman" w:cstheme="minorHAnsi"/>
          <w:color w:val="000000"/>
          <w:lang w:eastAsia="en-GB"/>
        </w:rPr>
      </w:pPr>
      <w:r w:rsidRPr="00392267">
        <w:rPr>
          <w:rFonts w:eastAsia="Times New Roman" w:cstheme="minorHAnsi"/>
          <w:color w:val="000000"/>
          <w:lang w:eastAsia="en-GB"/>
        </w:rPr>
        <w:t xml:space="preserve">SASCM proposes to expand on the surveillance data that NICD collates and to direct a parallel channel of information using the FIDSSA infrastructure. SASCM aims to raise awareness around </w:t>
      </w:r>
      <w:r>
        <w:rPr>
          <w:rFonts w:eastAsia="Times New Roman" w:cstheme="minorHAnsi"/>
          <w:color w:val="000000"/>
          <w:lang w:eastAsia="en-GB"/>
        </w:rPr>
        <w:t>antimicrobial susceptibility testing (</w:t>
      </w:r>
      <w:r w:rsidRPr="00392267">
        <w:rPr>
          <w:rFonts w:eastAsia="Times New Roman" w:cstheme="minorHAnsi"/>
          <w:color w:val="000000"/>
          <w:lang w:eastAsia="en-GB"/>
        </w:rPr>
        <w:t>AST</w:t>
      </w:r>
      <w:r>
        <w:rPr>
          <w:rFonts w:eastAsia="Times New Roman" w:cstheme="minorHAnsi"/>
          <w:color w:val="000000"/>
          <w:lang w:eastAsia="en-GB"/>
        </w:rPr>
        <w:t>)</w:t>
      </w:r>
      <w:r w:rsidRPr="00392267">
        <w:rPr>
          <w:rFonts w:eastAsia="Times New Roman" w:cstheme="minorHAnsi"/>
          <w:color w:val="000000"/>
          <w:lang w:eastAsia="en-GB"/>
        </w:rPr>
        <w:t xml:space="preserve">, the challenges around AST and how these impact on surveillance, </w:t>
      </w:r>
      <w:r>
        <w:rPr>
          <w:rFonts w:eastAsia="Times New Roman" w:cstheme="minorHAnsi"/>
          <w:color w:val="000000"/>
          <w:lang w:eastAsia="en-GB"/>
        </w:rPr>
        <w:t>antimicrobial stewardship (</w:t>
      </w:r>
      <w:r w:rsidRPr="00392267">
        <w:rPr>
          <w:rFonts w:eastAsia="Times New Roman" w:cstheme="minorHAnsi"/>
          <w:color w:val="000000"/>
          <w:lang w:eastAsia="en-GB"/>
        </w:rPr>
        <w:t>AMS</w:t>
      </w:r>
      <w:r>
        <w:rPr>
          <w:rFonts w:eastAsia="Times New Roman" w:cstheme="minorHAnsi"/>
          <w:color w:val="000000"/>
          <w:lang w:eastAsia="en-GB"/>
        </w:rPr>
        <w:t>)</w:t>
      </w:r>
      <w:r w:rsidRPr="00392267">
        <w:rPr>
          <w:rFonts w:eastAsia="Times New Roman" w:cstheme="minorHAnsi"/>
          <w:color w:val="000000"/>
          <w:lang w:eastAsia="en-GB"/>
        </w:rPr>
        <w:t xml:space="preserve"> </w:t>
      </w:r>
      <w:r>
        <w:rPr>
          <w:rFonts w:eastAsia="Times New Roman" w:cstheme="minorHAnsi"/>
          <w:color w:val="000000"/>
          <w:lang w:eastAsia="en-GB"/>
        </w:rPr>
        <w:t>and antimicrobial resistance</w:t>
      </w:r>
      <w:r w:rsidRPr="00392267">
        <w:rPr>
          <w:rFonts w:eastAsia="Times New Roman" w:cstheme="minorHAnsi"/>
          <w:color w:val="000000"/>
          <w:lang w:eastAsia="en-GB"/>
        </w:rPr>
        <w:t xml:space="preserve"> </w:t>
      </w:r>
      <w:r>
        <w:rPr>
          <w:rFonts w:eastAsia="Times New Roman" w:cstheme="minorHAnsi"/>
          <w:color w:val="000000"/>
          <w:lang w:eastAsia="en-GB"/>
        </w:rPr>
        <w:t>(</w:t>
      </w:r>
      <w:r w:rsidRPr="00392267">
        <w:rPr>
          <w:rFonts w:eastAsia="Times New Roman" w:cstheme="minorHAnsi"/>
          <w:color w:val="000000"/>
          <w:lang w:eastAsia="en-GB"/>
        </w:rPr>
        <w:t>AMR</w:t>
      </w:r>
      <w:r>
        <w:rPr>
          <w:rFonts w:eastAsia="Times New Roman" w:cstheme="minorHAnsi"/>
          <w:color w:val="000000"/>
          <w:lang w:eastAsia="en-GB"/>
        </w:rPr>
        <w:t>)</w:t>
      </w:r>
      <w:r w:rsidRPr="00392267">
        <w:rPr>
          <w:rFonts w:eastAsia="Times New Roman" w:cstheme="minorHAnsi"/>
          <w:color w:val="000000"/>
          <w:lang w:eastAsia="en-GB"/>
        </w:rPr>
        <w:t xml:space="preserve">. </w:t>
      </w:r>
      <w:r w:rsidR="004D7A7F">
        <w:rPr>
          <w:rFonts w:eastAsia="Times New Roman" w:cstheme="minorHAnsi"/>
          <w:color w:val="000000"/>
          <w:lang w:eastAsia="en-GB"/>
        </w:rPr>
        <w:t>T</w:t>
      </w:r>
      <w:r w:rsidRPr="00392267">
        <w:rPr>
          <w:rFonts w:eastAsia="Times New Roman" w:cstheme="minorHAnsi"/>
          <w:color w:val="000000"/>
          <w:lang w:eastAsia="en-GB"/>
        </w:rPr>
        <w:t xml:space="preserve">he existing surveillance data </w:t>
      </w:r>
      <w:r w:rsidR="004D7A7F">
        <w:rPr>
          <w:rFonts w:eastAsia="Times New Roman" w:cstheme="minorHAnsi"/>
          <w:color w:val="000000"/>
          <w:lang w:eastAsia="en-GB"/>
        </w:rPr>
        <w:t>will be used to</w:t>
      </w:r>
      <w:r w:rsidRPr="00392267">
        <w:rPr>
          <w:rFonts w:eastAsia="Times New Roman" w:cstheme="minorHAnsi"/>
          <w:color w:val="000000"/>
          <w:lang w:eastAsia="en-GB"/>
        </w:rPr>
        <w:t xml:space="preserve"> present more focused perspectives on the data to achieve this</w:t>
      </w:r>
      <w:r w:rsidR="004D7A7F">
        <w:rPr>
          <w:rFonts w:eastAsia="Times New Roman" w:cstheme="minorHAnsi"/>
          <w:color w:val="000000"/>
          <w:lang w:eastAsia="en-GB"/>
        </w:rPr>
        <w:t xml:space="preserve"> aim</w:t>
      </w:r>
      <w:r w:rsidRPr="00392267">
        <w:rPr>
          <w:rFonts w:eastAsia="Times New Roman" w:cstheme="minorHAnsi"/>
          <w:color w:val="000000"/>
          <w:lang w:eastAsia="en-GB"/>
        </w:rPr>
        <w:t>.</w:t>
      </w:r>
      <w:r w:rsidR="003378CE">
        <w:rPr>
          <w:rFonts w:eastAsia="Times New Roman" w:cstheme="minorHAnsi"/>
          <w:color w:val="000000"/>
          <w:lang w:eastAsia="en-GB"/>
        </w:rPr>
        <w:t xml:space="preserve"> </w:t>
      </w:r>
    </w:p>
    <w:p w14:paraId="7DB6DC56" w14:textId="5DF97AE6" w:rsidR="003378CE" w:rsidRDefault="003378CE" w:rsidP="005C670F">
      <w:pPr>
        <w:rPr>
          <w:rFonts w:eastAsia="Times New Roman" w:cstheme="minorHAnsi"/>
          <w:color w:val="000000"/>
          <w:lang w:eastAsia="en-GB"/>
        </w:rPr>
      </w:pPr>
    </w:p>
    <w:p w14:paraId="46ECB467" w14:textId="034F4B91" w:rsidR="003378CE" w:rsidRPr="00392267" w:rsidRDefault="003378CE" w:rsidP="005C670F">
      <w:pPr>
        <w:rPr>
          <w:rFonts w:eastAsia="Times New Roman" w:cstheme="minorHAnsi"/>
          <w:color w:val="000000"/>
          <w:lang w:eastAsia="en-GB"/>
        </w:rPr>
      </w:pPr>
      <w:r>
        <w:rPr>
          <w:rFonts w:eastAsia="Times New Roman" w:cstheme="minorHAnsi"/>
          <w:color w:val="000000"/>
          <w:lang w:eastAsia="en-GB"/>
        </w:rPr>
        <w:t xml:space="preserve">This is the first instalment of updates to follow, and the primary focus </w:t>
      </w:r>
      <w:r w:rsidR="004D7A7F">
        <w:rPr>
          <w:rFonts w:eastAsia="Times New Roman" w:cstheme="minorHAnsi"/>
          <w:color w:val="000000"/>
          <w:lang w:eastAsia="en-GB"/>
        </w:rPr>
        <w:t xml:space="preserve">of the update series </w:t>
      </w:r>
      <w:r>
        <w:rPr>
          <w:rFonts w:eastAsia="Times New Roman" w:cstheme="minorHAnsi"/>
          <w:color w:val="000000"/>
          <w:lang w:eastAsia="en-GB"/>
        </w:rPr>
        <w:t xml:space="preserve">will be on the ESKAPE pathogens. </w:t>
      </w:r>
      <w:r w:rsidR="004960F6">
        <w:rPr>
          <w:rFonts w:eastAsia="Times New Roman" w:cstheme="minorHAnsi"/>
          <w:color w:val="000000"/>
          <w:lang w:eastAsia="en-GB"/>
        </w:rPr>
        <w:t xml:space="preserve">Both private and public sector data will be utilized however, given that the NICD dashboard provides more granular detail for the public sector </w:t>
      </w:r>
      <w:r w:rsidR="00E02A42">
        <w:rPr>
          <w:rFonts w:eastAsia="Times New Roman" w:cstheme="minorHAnsi"/>
          <w:color w:val="000000"/>
          <w:lang w:eastAsia="en-GB"/>
        </w:rPr>
        <w:t xml:space="preserve">(sentinel sites and facility level data available) </w:t>
      </w:r>
      <w:r w:rsidR="004960F6">
        <w:rPr>
          <w:rFonts w:eastAsia="Times New Roman" w:cstheme="minorHAnsi"/>
          <w:color w:val="000000"/>
          <w:lang w:eastAsia="en-GB"/>
        </w:rPr>
        <w:t>t</w:t>
      </w:r>
      <w:r>
        <w:rPr>
          <w:rFonts w:eastAsia="Times New Roman" w:cstheme="minorHAnsi"/>
          <w:color w:val="000000"/>
          <w:lang w:eastAsia="en-GB"/>
        </w:rPr>
        <w:t xml:space="preserve">he 2019 private sector data will be </w:t>
      </w:r>
      <w:r w:rsidR="00047866">
        <w:rPr>
          <w:rFonts w:eastAsia="Times New Roman" w:cstheme="minorHAnsi"/>
          <w:color w:val="000000"/>
          <w:lang w:eastAsia="en-GB"/>
        </w:rPr>
        <w:t xml:space="preserve">elaborated on and </w:t>
      </w:r>
      <w:r w:rsidR="00E02A42">
        <w:rPr>
          <w:rFonts w:eastAsia="Times New Roman" w:cstheme="minorHAnsi"/>
          <w:color w:val="000000"/>
          <w:lang w:eastAsia="en-GB"/>
        </w:rPr>
        <w:t>highlighted</w:t>
      </w:r>
      <w:r w:rsidR="004960F6">
        <w:rPr>
          <w:rFonts w:eastAsia="Times New Roman" w:cstheme="minorHAnsi"/>
          <w:color w:val="000000"/>
          <w:lang w:eastAsia="en-GB"/>
        </w:rPr>
        <w:t xml:space="preserve">. The </w:t>
      </w:r>
      <w:r w:rsidR="00047866">
        <w:rPr>
          <w:rFonts w:eastAsia="Times New Roman" w:cstheme="minorHAnsi"/>
          <w:color w:val="000000"/>
          <w:lang w:eastAsia="en-GB"/>
        </w:rPr>
        <w:t xml:space="preserve">specific </w:t>
      </w:r>
      <w:r w:rsidR="004960F6">
        <w:rPr>
          <w:rFonts w:eastAsia="Times New Roman" w:cstheme="minorHAnsi"/>
          <w:color w:val="000000"/>
          <w:lang w:eastAsia="en-GB"/>
        </w:rPr>
        <w:t xml:space="preserve">issues </w:t>
      </w:r>
      <w:r w:rsidR="00047866">
        <w:rPr>
          <w:rFonts w:eastAsia="Times New Roman" w:cstheme="minorHAnsi"/>
          <w:color w:val="000000"/>
          <w:lang w:eastAsia="en-GB"/>
        </w:rPr>
        <w:t xml:space="preserve">raised around AST </w:t>
      </w:r>
      <w:r w:rsidR="00E02A42">
        <w:rPr>
          <w:rFonts w:eastAsia="Times New Roman" w:cstheme="minorHAnsi"/>
          <w:color w:val="000000"/>
          <w:lang w:eastAsia="en-GB"/>
        </w:rPr>
        <w:t xml:space="preserve">do </w:t>
      </w:r>
      <w:r w:rsidR="00047866">
        <w:rPr>
          <w:rFonts w:eastAsia="Times New Roman" w:cstheme="minorHAnsi"/>
          <w:color w:val="000000"/>
          <w:lang w:eastAsia="en-GB"/>
        </w:rPr>
        <w:t>pertain to both sectors</w:t>
      </w:r>
      <w:r w:rsidR="00E02A42">
        <w:rPr>
          <w:rFonts w:eastAsia="Times New Roman" w:cstheme="minorHAnsi"/>
          <w:color w:val="000000"/>
          <w:lang w:eastAsia="en-GB"/>
        </w:rPr>
        <w:t xml:space="preserve"> and remain relevant at a national level</w:t>
      </w:r>
      <w:r w:rsidR="00047866">
        <w:rPr>
          <w:rFonts w:eastAsia="Times New Roman" w:cstheme="minorHAnsi"/>
          <w:color w:val="000000"/>
          <w:lang w:eastAsia="en-GB"/>
        </w:rPr>
        <w:t>.</w:t>
      </w:r>
    </w:p>
    <w:p w14:paraId="429D2249" w14:textId="21392E07" w:rsidR="005C670F" w:rsidRDefault="005C670F" w:rsidP="005C670F">
      <w:pPr>
        <w:rPr>
          <w:lang w:val="en-US"/>
        </w:rPr>
      </w:pPr>
    </w:p>
    <w:p w14:paraId="29A77E6A" w14:textId="77777777" w:rsidR="005C670F" w:rsidRPr="005C670F" w:rsidRDefault="005C670F" w:rsidP="005C670F">
      <w:pPr>
        <w:rPr>
          <w:lang w:val="en-US"/>
        </w:rPr>
      </w:pPr>
    </w:p>
    <w:p w14:paraId="1B037F88" w14:textId="50B7546E" w:rsidR="00F00B61" w:rsidRDefault="0028420C" w:rsidP="0028420C">
      <w:pPr>
        <w:jc w:val="center"/>
        <w:rPr>
          <w:u w:val="single"/>
          <w:lang w:val="en-US"/>
        </w:rPr>
      </w:pPr>
      <w:r w:rsidRPr="0028420C">
        <w:rPr>
          <w:u w:val="single"/>
          <w:lang w:val="en-US"/>
        </w:rPr>
        <w:t xml:space="preserve">Antimicrobial susceptibility surveillance data for </w:t>
      </w:r>
      <w:r w:rsidRPr="0028420C">
        <w:rPr>
          <w:i/>
          <w:iCs/>
          <w:u w:val="single"/>
          <w:lang w:val="en-US"/>
        </w:rPr>
        <w:t>Klebsiella pneumoniae</w:t>
      </w:r>
      <w:r w:rsidRPr="0028420C">
        <w:rPr>
          <w:u w:val="single"/>
          <w:lang w:val="en-US"/>
        </w:rPr>
        <w:t xml:space="preserve"> bloodstream isolates from the South African private sector</w:t>
      </w:r>
      <w:r>
        <w:rPr>
          <w:u w:val="single"/>
          <w:lang w:val="en-US"/>
        </w:rPr>
        <w:t>: 2019</w:t>
      </w:r>
    </w:p>
    <w:p w14:paraId="2E9CD007" w14:textId="50E55EDB" w:rsidR="0028420C" w:rsidRDefault="0028420C" w:rsidP="0028420C">
      <w:pPr>
        <w:jc w:val="center"/>
        <w:rPr>
          <w:u w:val="single"/>
          <w:lang w:val="en-US"/>
        </w:rPr>
      </w:pPr>
    </w:p>
    <w:p w14:paraId="4ED2D6AD" w14:textId="48F41E37" w:rsidR="001038F6" w:rsidRPr="001038F6" w:rsidRDefault="001038F6" w:rsidP="0028420C">
      <w:pPr>
        <w:rPr>
          <w:u w:val="single"/>
          <w:lang w:val="en-US"/>
        </w:rPr>
      </w:pPr>
      <w:r>
        <w:rPr>
          <w:u w:val="single"/>
          <w:lang w:val="en-US"/>
        </w:rPr>
        <w:t>SASCM surveillance data methodology</w:t>
      </w:r>
    </w:p>
    <w:p w14:paraId="724B2186" w14:textId="77777777" w:rsidR="001038F6" w:rsidRDefault="001038F6" w:rsidP="0028420C">
      <w:pPr>
        <w:rPr>
          <w:lang w:val="en-US"/>
        </w:rPr>
      </w:pPr>
    </w:p>
    <w:p w14:paraId="0A74C7E3" w14:textId="271AF2FD" w:rsidR="0028420C" w:rsidRDefault="0028420C" w:rsidP="0028420C">
      <w:pPr>
        <w:rPr>
          <w:lang w:val="en-US"/>
        </w:rPr>
      </w:pPr>
      <w:r>
        <w:rPr>
          <w:lang w:val="en-US"/>
        </w:rPr>
        <w:t xml:space="preserve">Source of data: Aggregated data from the laboratory information systems of 4 </w:t>
      </w:r>
      <w:r w:rsidR="001038F6">
        <w:rPr>
          <w:lang w:val="en-US"/>
        </w:rPr>
        <w:t xml:space="preserve">accredited </w:t>
      </w:r>
      <w:r>
        <w:rPr>
          <w:lang w:val="en-US"/>
        </w:rPr>
        <w:t xml:space="preserve">private laboratories in South Africa [Ampath, Lancet, </w:t>
      </w:r>
      <w:proofErr w:type="spellStart"/>
      <w:r>
        <w:rPr>
          <w:lang w:val="en-US"/>
        </w:rPr>
        <w:t>PathCare</w:t>
      </w:r>
      <w:proofErr w:type="spellEnd"/>
      <w:r>
        <w:rPr>
          <w:lang w:val="en-US"/>
        </w:rPr>
        <w:t xml:space="preserve"> &amp; </w:t>
      </w:r>
      <w:proofErr w:type="spellStart"/>
      <w:r>
        <w:rPr>
          <w:lang w:val="en-US"/>
        </w:rPr>
        <w:t>PathCare</w:t>
      </w:r>
      <w:proofErr w:type="spellEnd"/>
      <w:r>
        <w:rPr>
          <w:lang w:val="en-US"/>
        </w:rPr>
        <w:t>/</w:t>
      </w:r>
      <w:proofErr w:type="spellStart"/>
      <w:r>
        <w:rPr>
          <w:lang w:val="en-US"/>
        </w:rPr>
        <w:t>Vermaak</w:t>
      </w:r>
      <w:proofErr w:type="spellEnd"/>
      <w:r>
        <w:rPr>
          <w:lang w:val="en-US"/>
        </w:rPr>
        <w:t xml:space="preserve">]. </w:t>
      </w:r>
    </w:p>
    <w:p w14:paraId="43C3B7A9" w14:textId="46699AD2" w:rsidR="0028420C" w:rsidRDefault="0028420C" w:rsidP="0028420C">
      <w:pPr>
        <w:rPr>
          <w:lang w:val="en-US"/>
        </w:rPr>
      </w:pPr>
    </w:p>
    <w:p w14:paraId="5C654E9E" w14:textId="0939EBE4" w:rsidR="0028420C" w:rsidRDefault="0028420C" w:rsidP="0028420C">
      <w:pPr>
        <w:rPr>
          <w:lang w:val="en-US"/>
        </w:rPr>
      </w:pPr>
      <w:r>
        <w:rPr>
          <w:lang w:val="en-US"/>
        </w:rPr>
        <w:t>Specimen type: Blood cultures</w:t>
      </w:r>
      <w:r w:rsidR="006A0CF1">
        <w:rPr>
          <w:lang w:val="en-US"/>
        </w:rPr>
        <w:t>, deduplicated</w:t>
      </w:r>
      <w:r w:rsidR="0066653A">
        <w:rPr>
          <w:lang w:val="en-US"/>
        </w:rPr>
        <w:t xml:space="preserve"> by unique identifier</w:t>
      </w:r>
      <w:r w:rsidR="006A0CF1">
        <w:rPr>
          <w:lang w:val="en-US"/>
        </w:rPr>
        <w:t>, isolate</w:t>
      </w:r>
      <w:r w:rsidR="0066653A">
        <w:rPr>
          <w:lang w:val="en-US"/>
        </w:rPr>
        <w:t>s separated by minimum interval of 3 weeks.</w:t>
      </w:r>
    </w:p>
    <w:p w14:paraId="33132784" w14:textId="00DFB319" w:rsidR="0028420C" w:rsidRDefault="0028420C" w:rsidP="0028420C">
      <w:pPr>
        <w:rPr>
          <w:lang w:val="en-US"/>
        </w:rPr>
      </w:pPr>
    </w:p>
    <w:p w14:paraId="20E665C7" w14:textId="76456018" w:rsidR="0028420C" w:rsidRDefault="0028420C" w:rsidP="0028420C">
      <w:pPr>
        <w:rPr>
          <w:lang w:val="en-US"/>
        </w:rPr>
      </w:pPr>
      <w:r>
        <w:rPr>
          <w:lang w:val="en-US"/>
        </w:rPr>
        <w:t xml:space="preserve">Antimicrobial susceptibility reporting: Two different antimicrobial susceptibility guidelines are currently </w:t>
      </w:r>
      <w:r w:rsidR="0066653A">
        <w:rPr>
          <w:lang w:val="en-US"/>
        </w:rPr>
        <w:t>in utilization</w:t>
      </w:r>
      <w:r>
        <w:rPr>
          <w:lang w:val="en-US"/>
        </w:rPr>
        <w:t xml:space="preserve">. These are the Clinical Laboratory Standards Institute </w:t>
      </w:r>
      <w:r w:rsidR="0066653A">
        <w:rPr>
          <w:lang w:val="en-US"/>
        </w:rPr>
        <w:t>[</w:t>
      </w:r>
      <w:r>
        <w:rPr>
          <w:lang w:val="en-US"/>
        </w:rPr>
        <w:t>CLSI</w:t>
      </w:r>
      <w:r w:rsidR="0066653A">
        <w:rPr>
          <w:lang w:val="en-US"/>
        </w:rPr>
        <w:t>]</w:t>
      </w:r>
      <w:r>
        <w:rPr>
          <w:lang w:val="en-US"/>
        </w:rPr>
        <w:t xml:space="preserve"> and the European</w:t>
      </w:r>
      <w:r w:rsidR="006A0CF1">
        <w:rPr>
          <w:lang w:val="en-US"/>
        </w:rPr>
        <w:t xml:space="preserve"> Committee on Antimicrobial Susceptibility Testing [EUCAST]. Clinical breakpoints differ for certain drug-bug combinations and hence categorical, clinical breakpoint</w:t>
      </w:r>
      <w:r>
        <w:rPr>
          <w:lang w:val="en-US"/>
        </w:rPr>
        <w:t xml:space="preserve"> data</w:t>
      </w:r>
      <w:r w:rsidR="006A0CF1">
        <w:rPr>
          <w:lang w:val="en-US"/>
        </w:rPr>
        <w:t xml:space="preserve"> [</w:t>
      </w:r>
      <w:r w:rsidR="0066653A">
        <w:rPr>
          <w:lang w:val="en-US"/>
        </w:rPr>
        <w:t>e.g.,</w:t>
      </w:r>
      <w:r w:rsidR="006A0CF1">
        <w:rPr>
          <w:lang w:val="en-US"/>
        </w:rPr>
        <w:t xml:space="preserve"> susceptible (S) or resistant (R)]</w:t>
      </w:r>
      <w:r>
        <w:rPr>
          <w:lang w:val="en-US"/>
        </w:rPr>
        <w:t xml:space="preserve"> is used</w:t>
      </w:r>
      <w:r w:rsidR="006A0CF1">
        <w:rPr>
          <w:lang w:val="en-US"/>
        </w:rPr>
        <w:t xml:space="preserve"> in the analysis</w:t>
      </w:r>
      <w:r w:rsidR="004D7A7F">
        <w:rPr>
          <w:lang w:val="en-US"/>
        </w:rPr>
        <w:t>]</w:t>
      </w:r>
      <w:r w:rsidR="006A0CF1">
        <w:rPr>
          <w:lang w:val="en-US"/>
        </w:rPr>
        <w:t xml:space="preserve">. </w:t>
      </w:r>
      <w:r>
        <w:rPr>
          <w:lang w:val="en-US"/>
        </w:rPr>
        <w:t xml:space="preserve"> </w:t>
      </w:r>
    </w:p>
    <w:p w14:paraId="785D0518" w14:textId="29BEDBDF" w:rsidR="006A0CF1" w:rsidRDefault="006A0CF1" w:rsidP="0028420C">
      <w:pPr>
        <w:rPr>
          <w:lang w:val="en-US"/>
        </w:rPr>
      </w:pPr>
      <w:r>
        <w:rPr>
          <w:lang w:val="en-US"/>
        </w:rPr>
        <w:t>Reporting is not standardized between all laboratories and therefore antibiogram profiles and reporting interpretations may differ. This accounts for differences in number of isolates tested against certain antimicrobials and totals may not always add up to the cumulative number of isolates.</w:t>
      </w:r>
    </w:p>
    <w:p w14:paraId="1A05D1E8" w14:textId="6C52673A" w:rsidR="001038F6" w:rsidRDefault="001038F6" w:rsidP="0028420C">
      <w:pPr>
        <w:rPr>
          <w:lang w:val="en-US"/>
        </w:rPr>
      </w:pPr>
    </w:p>
    <w:p w14:paraId="304F13E2" w14:textId="68DB50BB" w:rsidR="001038F6" w:rsidRDefault="001038F6" w:rsidP="0028420C">
      <w:pPr>
        <w:rPr>
          <w:lang w:val="en-US"/>
        </w:rPr>
      </w:pPr>
      <w:r>
        <w:rPr>
          <w:lang w:val="en-US"/>
        </w:rPr>
        <w:lastRenderedPageBreak/>
        <w:t xml:space="preserve">Data is presented as percentage susceptible (%S). Numbers of isolates are provided where possible. </w:t>
      </w:r>
    </w:p>
    <w:p w14:paraId="40B50461" w14:textId="4088FFA0" w:rsidR="00355C87" w:rsidRDefault="00355C87" w:rsidP="0028420C">
      <w:pPr>
        <w:rPr>
          <w:lang w:val="en-US"/>
        </w:rPr>
      </w:pPr>
      <w:r>
        <w:rPr>
          <w:lang w:val="en-US"/>
        </w:rPr>
        <w:t>Regional (provincial) data is provided based on the data submitted by individual laboratories which either reflects a specific region or hospital. The designation is thus based on site of submission and not necessarily site of acquisition.</w:t>
      </w:r>
    </w:p>
    <w:p w14:paraId="011AF324" w14:textId="4B533829" w:rsidR="001038F6" w:rsidRDefault="001038F6" w:rsidP="0028420C">
      <w:pPr>
        <w:rPr>
          <w:lang w:val="en-US"/>
        </w:rPr>
      </w:pPr>
      <w:r>
        <w:rPr>
          <w:lang w:val="en-US"/>
        </w:rPr>
        <w:t xml:space="preserve">Where relevant interpretation of the “I” category is elaborated on and included in the susceptibility analysis. </w:t>
      </w:r>
    </w:p>
    <w:p w14:paraId="78FCBCD8" w14:textId="12E59C10" w:rsidR="001038F6" w:rsidRDefault="001038F6" w:rsidP="0028420C">
      <w:pPr>
        <w:rPr>
          <w:lang w:val="en-US"/>
        </w:rPr>
      </w:pPr>
    </w:p>
    <w:p w14:paraId="0DA0D361" w14:textId="0B4B67BF" w:rsidR="001038F6" w:rsidRDefault="001038F6" w:rsidP="0028420C">
      <w:pPr>
        <w:rPr>
          <w:i/>
          <w:iCs/>
          <w:u w:val="single"/>
          <w:lang w:val="en-US"/>
        </w:rPr>
      </w:pPr>
      <w:r w:rsidRPr="001038F6">
        <w:rPr>
          <w:i/>
          <w:iCs/>
          <w:u w:val="single"/>
          <w:lang w:val="en-US"/>
        </w:rPr>
        <w:t>K</w:t>
      </w:r>
      <w:r w:rsidR="004D7A7F">
        <w:rPr>
          <w:i/>
          <w:iCs/>
          <w:u w:val="single"/>
          <w:lang w:val="en-US"/>
        </w:rPr>
        <w:t>lebsiella</w:t>
      </w:r>
      <w:r w:rsidRPr="001038F6">
        <w:rPr>
          <w:i/>
          <w:iCs/>
          <w:u w:val="single"/>
          <w:lang w:val="en-US"/>
        </w:rPr>
        <w:t xml:space="preserve"> pneumoniae</w:t>
      </w:r>
    </w:p>
    <w:p w14:paraId="0F1A09B3" w14:textId="74F2CB0D" w:rsidR="001038F6" w:rsidRDefault="001038F6" w:rsidP="0028420C">
      <w:pPr>
        <w:rPr>
          <w:i/>
          <w:iCs/>
          <w:u w:val="single"/>
          <w:lang w:val="en-US"/>
        </w:rPr>
      </w:pPr>
    </w:p>
    <w:p w14:paraId="2164A650" w14:textId="7FACB1A2" w:rsidR="001038F6" w:rsidRDefault="001038F6" w:rsidP="0028420C">
      <w:pPr>
        <w:rPr>
          <w:lang w:val="en-US"/>
        </w:rPr>
      </w:pPr>
      <w:r>
        <w:rPr>
          <w:lang w:val="en-US"/>
        </w:rPr>
        <w:t xml:space="preserve">The total number of isolates for 2019 was </w:t>
      </w:r>
      <w:r w:rsidR="00E10AE9">
        <w:rPr>
          <w:lang w:val="en-US"/>
        </w:rPr>
        <w:t>4852 with a breakdown per province as follows:</w:t>
      </w:r>
    </w:p>
    <w:p w14:paraId="1F279AF3" w14:textId="4D7022EF" w:rsidR="00E10AE9" w:rsidRDefault="00E10AE9" w:rsidP="0028420C">
      <w:pPr>
        <w:rPr>
          <w:lang w:val="en-US"/>
        </w:rPr>
      </w:pPr>
    </w:p>
    <w:tbl>
      <w:tblPr>
        <w:tblW w:w="4062" w:type="dxa"/>
        <w:tblLook w:val="04A0" w:firstRow="1" w:lastRow="0" w:firstColumn="1" w:lastColumn="0" w:noHBand="0" w:noVBand="1"/>
      </w:tblPr>
      <w:tblGrid>
        <w:gridCol w:w="2092"/>
        <w:gridCol w:w="1970"/>
      </w:tblGrid>
      <w:tr w:rsidR="00E10AE9" w:rsidRPr="00E10AE9" w14:paraId="5414FF65" w14:textId="77777777" w:rsidTr="00E10AE9">
        <w:trPr>
          <w:trHeight w:val="302"/>
        </w:trPr>
        <w:tc>
          <w:tcPr>
            <w:tcW w:w="2092" w:type="dxa"/>
            <w:tcBorders>
              <w:top w:val="nil"/>
              <w:left w:val="nil"/>
              <w:bottom w:val="nil"/>
              <w:right w:val="nil"/>
            </w:tcBorders>
            <w:shd w:val="clear" w:color="auto" w:fill="auto"/>
            <w:noWrap/>
            <w:vAlign w:val="bottom"/>
            <w:hideMark/>
          </w:tcPr>
          <w:p w14:paraId="6919E101" w14:textId="7564081B" w:rsidR="00E10AE9" w:rsidRPr="00E10AE9" w:rsidRDefault="00E10AE9" w:rsidP="00E10AE9">
            <w:pPr>
              <w:rPr>
                <w:rFonts w:ascii="Calibri" w:eastAsia="Times New Roman" w:hAnsi="Calibri" w:cs="Calibri"/>
                <w:sz w:val="22"/>
                <w:szCs w:val="22"/>
                <w:u w:val="single"/>
                <w:lang w:eastAsia="en-GB"/>
              </w:rPr>
            </w:pPr>
            <w:r>
              <w:rPr>
                <w:rFonts w:ascii="Calibri" w:eastAsia="Times New Roman" w:hAnsi="Calibri" w:cs="Calibri"/>
                <w:sz w:val="22"/>
                <w:szCs w:val="22"/>
                <w:u w:val="single"/>
                <w:lang w:eastAsia="en-GB"/>
              </w:rPr>
              <w:t xml:space="preserve">       </w:t>
            </w:r>
          </w:p>
          <w:p w14:paraId="3B6A4A6D" w14:textId="777F48D4"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Gauteng</w:t>
            </w:r>
          </w:p>
        </w:tc>
        <w:tc>
          <w:tcPr>
            <w:tcW w:w="1970" w:type="dxa"/>
            <w:tcBorders>
              <w:top w:val="nil"/>
              <w:left w:val="nil"/>
              <w:bottom w:val="nil"/>
              <w:right w:val="nil"/>
            </w:tcBorders>
            <w:shd w:val="clear" w:color="auto" w:fill="auto"/>
            <w:noWrap/>
            <w:vAlign w:val="bottom"/>
            <w:hideMark/>
          </w:tcPr>
          <w:p w14:paraId="1C5DC32B"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2065</w:t>
            </w:r>
          </w:p>
        </w:tc>
      </w:tr>
      <w:tr w:rsidR="00E10AE9" w:rsidRPr="00E10AE9" w14:paraId="42293258" w14:textId="77777777" w:rsidTr="00E10AE9">
        <w:trPr>
          <w:trHeight w:val="302"/>
        </w:trPr>
        <w:tc>
          <w:tcPr>
            <w:tcW w:w="2092" w:type="dxa"/>
            <w:tcBorders>
              <w:top w:val="nil"/>
              <w:left w:val="nil"/>
              <w:bottom w:val="nil"/>
              <w:right w:val="nil"/>
            </w:tcBorders>
            <w:shd w:val="clear" w:color="auto" w:fill="auto"/>
            <w:noWrap/>
            <w:vAlign w:val="bottom"/>
            <w:hideMark/>
          </w:tcPr>
          <w:p w14:paraId="44969710"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WC</w:t>
            </w:r>
          </w:p>
        </w:tc>
        <w:tc>
          <w:tcPr>
            <w:tcW w:w="1970" w:type="dxa"/>
            <w:tcBorders>
              <w:top w:val="nil"/>
              <w:left w:val="nil"/>
              <w:bottom w:val="nil"/>
              <w:right w:val="nil"/>
            </w:tcBorders>
            <w:shd w:val="clear" w:color="auto" w:fill="auto"/>
            <w:noWrap/>
            <w:vAlign w:val="bottom"/>
            <w:hideMark/>
          </w:tcPr>
          <w:p w14:paraId="65427902"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879</w:t>
            </w:r>
          </w:p>
        </w:tc>
      </w:tr>
      <w:tr w:rsidR="00E10AE9" w:rsidRPr="00E10AE9" w14:paraId="5F9AE740" w14:textId="77777777" w:rsidTr="00E10AE9">
        <w:trPr>
          <w:trHeight w:val="302"/>
        </w:trPr>
        <w:tc>
          <w:tcPr>
            <w:tcW w:w="2092" w:type="dxa"/>
            <w:tcBorders>
              <w:top w:val="nil"/>
              <w:left w:val="nil"/>
              <w:bottom w:val="nil"/>
              <w:right w:val="nil"/>
            </w:tcBorders>
            <w:shd w:val="clear" w:color="auto" w:fill="auto"/>
            <w:noWrap/>
            <w:vAlign w:val="bottom"/>
            <w:hideMark/>
          </w:tcPr>
          <w:p w14:paraId="417D3408"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EC</w:t>
            </w:r>
          </w:p>
        </w:tc>
        <w:tc>
          <w:tcPr>
            <w:tcW w:w="1970" w:type="dxa"/>
            <w:tcBorders>
              <w:top w:val="nil"/>
              <w:left w:val="nil"/>
              <w:bottom w:val="nil"/>
              <w:right w:val="nil"/>
            </w:tcBorders>
            <w:shd w:val="clear" w:color="auto" w:fill="auto"/>
            <w:noWrap/>
            <w:vAlign w:val="bottom"/>
            <w:hideMark/>
          </w:tcPr>
          <w:p w14:paraId="2DA64B13"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306</w:t>
            </w:r>
          </w:p>
        </w:tc>
      </w:tr>
      <w:tr w:rsidR="00E10AE9" w:rsidRPr="00E10AE9" w14:paraId="4BE15528" w14:textId="77777777" w:rsidTr="00E10AE9">
        <w:trPr>
          <w:trHeight w:val="302"/>
        </w:trPr>
        <w:tc>
          <w:tcPr>
            <w:tcW w:w="2092" w:type="dxa"/>
            <w:tcBorders>
              <w:top w:val="nil"/>
              <w:left w:val="nil"/>
              <w:bottom w:val="nil"/>
              <w:right w:val="nil"/>
            </w:tcBorders>
            <w:shd w:val="clear" w:color="auto" w:fill="auto"/>
            <w:noWrap/>
            <w:vAlign w:val="bottom"/>
            <w:hideMark/>
          </w:tcPr>
          <w:p w14:paraId="54A669CD"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Mpumalanga</w:t>
            </w:r>
          </w:p>
        </w:tc>
        <w:tc>
          <w:tcPr>
            <w:tcW w:w="1970" w:type="dxa"/>
            <w:tcBorders>
              <w:top w:val="nil"/>
              <w:left w:val="nil"/>
              <w:bottom w:val="nil"/>
              <w:right w:val="nil"/>
            </w:tcBorders>
            <w:shd w:val="clear" w:color="auto" w:fill="auto"/>
            <w:noWrap/>
            <w:vAlign w:val="bottom"/>
            <w:hideMark/>
          </w:tcPr>
          <w:p w14:paraId="1AEE87ED"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107</w:t>
            </w:r>
          </w:p>
        </w:tc>
      </w:tr>
      <w:tr w:rsidR="00E10AE9" w:rsidRPr="00E10AE9" w14:paraId="04B57139" w14:textId="77777777" w:rsidTr="00E10AE9">
        <w:trPr>
          <w:trHeight w:val="302"/>
        </w:trPr>
        <w:tc>
          <w:tcPr>
            <w:tcW w:w="2092" w:type="dxa"/>
            <w:tcBorders>
              <w:top w:val="nil"/>
              <w:left w:val="nil"/>
              <w:bottom w:val="nil"/>
              <w:right w:val="nil"/>
            </w:tcBorders>
            <w:shd w:val="clear" w:color="auto" w:fill="auto"/>
            <w:noWrap/>
            <w:vAlign w:val="bottom"/>
            <w:hideMark/>
          </w:tcPr>
          <w:p w14:paraId="1E8CB301"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KZN</w:t>
            </w:r>
          </w:p>
        </w:tc>
        <w:tc>
          <w:tcPr>
            <w:tcW w:w="1970" w:type="dxa"/>
            <w:tcBorders>
              <w:top w:val="nil"/>
              <w:left w:val="nil"/>
              <w:bottom w:val="nil"/>
              <w:right w:val="nil"/>
            </w:tcBorders>
            <w:shd w:val="clear" w:color="auto" w:fill="auto"/>
            <w:noWrap/>
            <w:vAlign w:val="bottom"/>
            <w:hideMark/>
          </w:tcPr>
          <w:p w14:paraId="42AD12C2"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409</w:t>
            </w:r>
          </w:p>
        </w:tc>
      </w:tr>
      <w:tr w:rsidR="00E10AE9" w:rsidRPr="00E10AE9" w14:paraId="42FB48BC" w14:textId="77777777" w:rsidTr="00E10AE9">
        <w:trPr>
          <w:trHeight w:val="302"/>
        </w:trPr>
        <w:tc>
          <w:tcPr>
            <w:tcW w:w="2092" w:type="dxa"/>
            <w:tcBorders>
              <w:top w:val="nil"/>
              <w:left w:val="nil"/>
              <w:bottom w:val="nil"/>
              <w:right w:val="nil"/>
            </w:tcBorders>
            <w:shd w:val="clear" w:color="auto" w:fill="auto"/>
            <w:noWrap/>
            <w:vAlign w:val="bottom"/>
            <w:hideMark/>
          </w:tcPr>
          <w:p w14:paraId="3FC55BE4"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Free State</w:t>
            </w:r>
          </w:p>
        </w:tc>
        <w:tc>
          <w:tcPr>
            <w:tcW w:w="1970" w:type="dxa"/>
            <w:tcBorders>
              <w:top w:val="nil"/>
              <w:left w:val="nil"/>
              <w:bottom w:val="nil"/>
              <w:right w:val="nil"/>
            </w:tcBorders>
            <w:shd w:val="clear" w:color="auto" w:fill="auto"/>
            <w:noWrap/>
            <w:vAlign w:val="bottom"/>
            <w:hideMark/>
          </w:tcPr>
          <w:p w14:paraId="22A58565"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252</w:t>
            </w:r>
          </w:p>
        </w:tc>
      </w:tr>
      <w:tr w:rsidR="00E10AE9" w:rsidRPr="00E10AE9" w14:paraId="787A7B1C" w14:textId="77777777" w:rsidTr="00E10AE9">
        <w:trPr>
          <w:trHeight w:val="302"/>
        </w:trPr>
        <w:tc>
          <w:tcPr>
            <w:tcW w:w="2092" w:type="dxa"/>
            <w:tcBorders>
              <w:top w:val="nil"/>
              <w:left w:val="nil"/>
              <w:bottom w:val="nil"/>
              <w:right w:val="nil"/>
            </w:tcBorders>
            <w:shd w:val="clear" w:color="auto" w:fill="auto"/>
            <w:noWrap/>
            <w:vAlign w:val="bottom"/>
            <w:hideMark/>
          </w:tcPr>
          <w:p w14:paraId="3D22345B"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Limpopo</w:t>
            </w:r>
          </w:p>
        </w:tc>
        <w:tc>
          <w:tcPr>
            <w:tcW w:w="1970" w:type="dxa"/>
            <w:tcBorders>
              <w:top w:val="nil"/>
              <w:left w:val="nil"/>
              <w:bottom w:val="nil"/>
              <w:right w:val="nil"/>
            </w:tcBorders>
            <w:shd w:val="clear" w:color="auto" w:fill="auto"/>
            <w:noWrap/>
            <w:vAlign w:val="bottom"/>
            <w:hideMark/>
          </w:tcPr>
          <w:p w14:paraId="6DABF247"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117</w:t>
            </w:r>
          </w:p>
        </w:tc>
      </w:tr>
      <w:tr w:rsidR="00E10AE9" w:rsidRPr="00E10AE9" w14:paraId="5E228DFD" w14:textId="77777777" w:rsidTr="00E10AE9">
        <w:trPr>
          <w:trHeight w:val="302"/>
        </w:trPr>
        <w:tc>
          <w:tcPr>
            <w:tcW w:w="2092" w:type="dxa"/>
            <w:tcBorders>
              <w:top w:val="nil"/>
              <w:left w:val="nil"/>
              <w:bottom w:val="nil"/>
              <w:right w:val="nil"/>
            </w:tcBorders>
            <w:shd w:val="clear" w:color="auto" w:fill="auto"/>
            <w:noWrap/>
            <w:vAlign w:val="bottom"/>
            <w:hideMark/>
          </w:tcPr>
          <w:p w14:paraId="0DD1E1FA"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North West</w:t>
            </w:r>
          </w:p>
        </w:tc>
        <w:tc>
          <w:tcPr>
            <w:tcW w:w="1970" w:type="dxa"/>
            <w:tcBorders>
              <w:top w:val="nil"/>
              <w:left w:val="nil"/>
              <w:bottom w:val="nil"/>
              <w:right w:val="nil"/>
            </w:tcBorders>
            <w:shd w:val="clear" w:color="auto" w:fill="auto"/>
            <w:noWrap/>
            <w:vAlign w:val="bottom"/>
            <w:hideMark/>
          </w:tcPr>
          <w:p w14:paraId="1BD8903F"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284</w:t>
            </w:r>
          </w:p>
        </w:tc>
      </w:tr>
      <w:tr w:rsidR="00E10AE9" w:rsidRPr="00E10AE9" w14:paraId="244951B1" w14:textId="77777777" w:rsidTr="00E10AE9">
        <w:trPr>
          <w:trHeight w:val="302"/>
        </w:trPr>
        <w:tc>
          <w:tcPr>
            <w:tcW w:w="2092" w:type="dxa"/>
            <w:tcBorders>
              <w:top w:val="nil"/>
              <w:left w:val="nil"/>
              <w:bottom w:val="nil"/>
              <w:right w:val="nil"/>
            </w:tcBorders>
            <w:shd w:val="clear" w:color="auto" w:fill="auto"/>
            <w:noWrap/>
            <w:vAlign w:val="bottom"/>
            <w:hideMark/>
          </w:tcPr>
          <w:p w14:paraId="6EADF93A"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NC</w:t>
            </w:r>
          </w:p>
        </w:tc>
        <w:tc>
          <w:tcPr>
            <w:tcW w:w="1970" w:type="dxa"/>
            <w:tcBorders>
              <w:top w:val="nil"/>
              <w:left w:val="nil"/>
              <w:bottom w:val="nil"/>
              <w:right w:val="nil"/>
            </w:tcBorders>
            <w:shd w:val="clear" w:color="auto" w:fill="auto"/>
            <w:noWrap/>
            <w:vAlign w:val="bottom"/>
            <w:hideMark/>
          </w:tcPr>
          <w:p w14:paraId="445C4ED6" w14:textId="77777777" w:rsidR="00E10AE9" w:rsidRPr="00E10AE9" w:rsidRDefault="00E10AE9" w:rsidP="00E10AE9">
            <w:pPr>
              <w:jc w:val="center"/>
              <w:rPr>
                <w:rFonts w:ascii="Calibri" w:eastAsia="Times New Roman" w:hAnsi="Calibri" w:cs="Calibri"/>
                <w:sz w:val="22"/>
                <w:szCs w:val="22"/>
                <w:lang w:eastAsia="en-GB"/>
              </w:rPr>
            </w:pPr>
            <w:r w:rsidRPr="00E10AE9">
              <w:rPr>
                <w:rFonts w:ascii="Calibri" w:eastAsia="Times New Roman" w:hAnsi="Calibri" w:cs="Calibri"/>
                <w:sz w:val="22"/>
                <w:szCs w:val="22"/>
                <w:lang w:eastAsia="en-GB"/>
              </w:rPr>
              <w:t>51</w:t>
            </w:r>
          </w:p>
        </w:tc>
      </w:tr>
    </w:tbl>
    <w:p w14:paraId="61F90FAD" w14:textId="77777777" w:rsidR="00E10AE9" w:rsidRPr="001038F6" w:rsidRDefault="00E10AE9" w:rsidP="0028420C">
      <w:pPr>
        <w:rPr>
          <w:lang w:val="en-US"/>
        </w:rPr>
      </w:pPr>
    </w:p>
    <w:p w14:paraId="00F00D29" w14:textId="19C3DF67" w:rsidR="00E10AE9" w:rsidRDefault="00E10AE9" w:rsidP="0028420C">
      <w:pPr>
        <w:rPr>
          <w:lang w:val="en-US"/>
        </w:rPr>
      </w:pPr>
      <w:r>
        <w:rPr>
          <w:lang w:val="en-US"/>
        </w:rPr>
        <w:t xml:space="preserve">The </w:t>
      </w:r>
      <w:r w:rsidR="00C06C1B">
        <w:rPr>
          <w:lang w:val="en-US"/>
        </w:rPr>
        <w:t xml:space="preserve">susceptibilities to indicator agents that define the </w:t>
      </w:r>
      <w:r>
        <w:rPr>
          <w:lang w:val="en-US"/>
        </w:rPr>
        <w:t xml:space="preserve">important phenotypes of </w:t>
      </w:r>
      <w:r>
        <w:rPr>
          <w:i/>
          <w:iCs/>
          <w:lang w:val="en-US"/>
        </w:rPr>
        <w:t xml:space="preserve">K. pneumoniae </w:t>
      </w:r>
      <w:r>
        <w:rPr>
          <w:lang w:val="en-US"/>
        </w:rPr>
        <w:t>are represented in figure</w:t>
      </w:r>
      <w:r w:rsidR="00C06C1B">
        <w:rPr>
          <w:lang w:val="en-US"/>
        </w:rPr>
        <w:t>s</w:t>
      </w:r>
      <w:r>
        <w:rPr>
          <w:lang w:val="en-US"/>
        </w:rPr>
        <w:t xml:space="preserve"> 1</w:t>
      </w:r>
      <w:r w:rsidR="00C06C1B">
        <w:rPr>
          <w:lang w:val="en-US"/>
        </w:rPr>
        <w:t xml:space="preserve"> and 2</w:t>
      </w:r>
      <w:r>
        <w:rPr>
          <w:lang w:val="en-US"/>
        </w:rPr>
        <w:t xml:space="preserve">. Extended-spectrum </w:t>
      </w:r>
      <w:r>
        <w:rPr>
          <w:lang w:val="en-US"/>
        </w:rPr>
        <w:sym w:font="Symbol" w:char="F062"/>
      </w:r>
      <w:r>
        <w:rPr>
          <w:lang w:val="en-US"/>
        </w:rPr>
        <w:t>-lactamase producers (ESBLs) are defined by resistance to the 3</w:t>
      </w:r>
      <w:r w:rsidRPr="00E10AE9">
        <w:rPr>
          <w:vertAlign w:val="superscript"/>
          <w:lang w:val="en-US"/>
        </w:rPr>
        <w:t>rd</w:t>
      </w:r>
      <w:r w:rsidR="00C06C1B">
        <w:rPr>
          <w:lang w:val="en-US"/>
        </w:rPr>
        <w:t xml:space="preserve"> </w:t>
      </w:r>
      <w:r>
        <w:rPr>
          <w:lang w:val="en-US"/>
        </w:rPr>
        <w:t>generation cephalosporins ceftriaxone and/or cefotaxime.</w:t>
      </w:r>
    </w:p>
    <w:p w14:paraId="23FFA1FB" w14:textId="32D836AC" w:rsidR="006A0CF1" w:rsidRDefault="00E10AE9" w:rsidP="0028420C">
      <w:pPr>
        <w:rPr>
          <w:lang w:val="en-US"/>
        </w:rPr>
      </w:pPr>
      <w:r>
        <w:rPr>
          <w:lang w:val="en-US"/>
        </w:rPr>
        <w:t xml:space="preserve">Carbapenem resistant isolates (CRE) are defined by resistance to ertapenem, irrespective of susceptibility to any of the other carbapenems.  </w:t>
      </w:r>
    </w:p>
    <w:p w14:paraId="2BB636D5" w14:textId="77777777" w:rsidR="005D3771" w:rsidRDefault="005D3771" w:rsidP="0028420C">
      <w:pPr>
        <w:rPr>
          <w:lang w:val="en-US"/>
        </w:rPr>
      </w:pPr>
    </w:p>
    <w:p w14:paraId="3845B32C" w14:textId="64F77154" w:rsidR="00C06C1B" w:rsidRDefault="00C06C1B" w:rsidP="0028420C">
      <w:pPr>
        <w:rPr>
          <w:lang w:val="en-US"/>
        </w:rPr>
      </w:pPr>
    </w:p>
    <w:p w14:paraId="03C39543" w14:textId="319B57C0" w:rsidR="00C06C1B" w:rsidRDefault="00C06C1B" w:rsidP="0028420C">
      <w:pPr>
        <w:rPr>
          <w:lang w:val="en-US"/>
        </w:rPr>
      </w:pPr>
      <w:r>
        <w:rPr>
          <w:noProof/>
        </w:rPr>
        <w:lastRenderedPageBreak/>
        <w:drawing>
          <wp:inline distT="0" distB="0" distL="0" distR="0" wp14:anchorId="6BC7D5B1" wp14:editId="118D8B83">
            <wp:extent cx="5731510" cy="3224530"/>
            <wp:effectExtent l="0" t="0" r="8890" b="13970"/>
            <wp:docPr id="2" name="Chart 2">
              <a:extLst xmlns:a="http://schemas.openxmlformats.org/drawingml/2006/main">
                <a:ext uri="{FF2B5EF4-FFF2-40B4-BE49-F238E27FC236}">
                  <a16:creationId xmlns:a16="http://schemas.microsoft.com/office/drawing/2014/main" id="{C9DF9186-961D-6F43-9A8E-F5B3DCD81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F82381E" w14:textId="2D7739C2" w:rsidR="00C06C1B" w:rsidRPr="00A32BEF" w:rsidRDefault="00C06C1B" w:rsidP="0028420C">
      <w:pPr>
        <w:rPr>
          <w:lang w:val="en-US"/>
        </w:rPr>
      </w:pPr>
      <w:r>
        <w:rPr>
          <w:lang w:val="en-US"/>
        </w:rPr>
        <w:t>Figure 1.</w:t>
      </w:r>
      <w:r w:rsidR="00A32BEF">
        <w:rPr>
          <w:lang w:val="en-US"/>
        </w:rPr>
        <w:t xml:space="preserve"> Susceptibility of </w:t>
      </w:r>
      <w:r w:rsidR="00A32BEF">
        <w:rPr>
          <w:i/>
          <w:iCs/>
          <w:lang w:val="en-US"/>
        </w:rPr>
        <w:t xml:space="preserve">K. pneumoniae </w:t>
      </w:r>
      <w:r w:rsidR="00A32BEF">
        <w:rPr>
          <w:lang w:val="en-US"/>
        </w:rPr>
        <w:t>to ceftriaxone/cefotaxime and ertapenem for year 2019</w:t>
      </w:r>
    </w:p>
    <w:p w14:paraId="72BB129A" w14:textId="5A787C58" w:rsidR="00DC3065" w:rsidRPr="00DC3065" w:rsidRDefault="00DC3065" w:rsidP="0028420C">
      <w:pPr>
        <w:rPr>
          <w:sz w:val="16"/>
          <w:szCs w:val="16"/>
          <w:lang w:val="en-US"/>
        </w:rPr>
      </w:pPr>
      <w:bookmarkStart w:id="0" w:name="OLE_LINK1"/>
      <w:r>
        <w:rPr>
          <w:sz w:val="16"/>
          <w:szCs w:val="16"/>
          <w:lang w:val="en-US"/>
        </w:rPr>
        <w:t xml:space="preserve">WC – Western Cape; EC – Eastern Cape; KZN – </w:t>
      </w:r>
      <w:proofErr w:type="spellStart"/>
      <w:r>
        <w:rPr>
          <w:sz w:val="16"/>
          <w:szCs w:val="16"/>
          <w:lang w:val="en-US"/>
        </w:rPr>
        <w:t>Kwazulu</w:t>
      </w:r>
      <w:proofErr w:type="spellEnd"/>
      <w:r>
        <w:rPr>
          <w:sz w:val="16"/>
          <w:szCs w:val="16"/>
          <w:lang w:val="en-US"/>
        </w:rPr>
        <w:t xml:space="preserve"> Natal; NC – Northern Cape</w:t>
      </w:r>
      <w:r w:rsidR="00A32BEF">
        <w:rPr>
          <w:sz w:val="16"/>
          <w:szCs w:val="16"/>
          <w:lang w:val="en-US"/>
        </w:rPr>
        <w:t>; BSI – bloodstream isolates</w:t>
      </w:r>
    </w:p>
    <w:bookmarkEnd w:id="0"/>
    <w:p w14:paraId="16A1A29D" w14:textId="51E82F09" w:rsidR="00C06C1B" w:rsidRDefault="00C06C1B" w:rsidP="0028420C">
      <w:pPr>
        <w:rPr>
          <w:lang w:val="en-US"/>
        </w:rPr>
      </w:pPr>
    </w:p>
    <w:p w14:paraId="5361497B" w14:textId="053F6986" w:rsidR="00C06C1B" w:rsidRDefault="00C06C1B" w:rsidP="0028420C">
      <w:pPr>
        <w:rPr>
          <w:lang w:val="en-US"/>
        </w:rPr>
      </w:pPr>
      <w:r>
        <w:rPr>
          <w:lang w:val="en-US"/>
        </w:rPr>
        <w:t>A total of 3957 isolates had susceptibility to the 3</w:t>
      </w:r>
      <w:r w:rsidRPr="00C06C1B">
        <w:rPr>
          <w:vertAlign w:val="superscript"/>
          <w:lang w:val="en-US"/>
        </w:rPr>
        <w:t>rd</w:t>
      </w:r>
      <w:r>
        <w:rPr>
          <w:lang w:val="en-US"/>
        </w:rPr>
        <w:t xml:space="preserve"> generation cephalosporins ceftriaxone/cefotaxime reported, with an overall susceptibility of 35.15% (ra</w:t>
      </w:r>
      <w:r w:rsidR="00E7793F">
        <w:rPr>
          <w:lang w:val="en-US"/>
        </w:rPr>
        <w:t xml:space="preserve">nge: </w:t>
      </w:r>
      <w:r>
        <w:rPr>
          <w:lang w:val="en-US"/>
        </w:rPr>
        <w:t>21</w:t>
      </w:r>
      <w:r w:rsidR="00E7793F">
        <w:rPr>
          <w:lang w:val="en-US"/>
        </w:rPr>
        <w:t>.37</w:t>
      </w:r>
      <w:r>
        <w:rPr>
          <w:lang w:val="en-US"/>
        </w:rPr>
        <w:t xml:space="preserve"> to 5</w:t>
      </w:r>
      <w:r w:rsidR="00E7793F">
        <w:rPr>
          <w:lang w:val="en-US"/>
        </w:rPr>
        <w:t>1.7</w:t>
      </w:r>
      <w:r>
        <w:rPr>
          <w:lang w:val="en-US"/>
        </w:rPr>
        <w:t>2%</w:t>
      </w:r>
      <w:r w:rsidR="00E7793F">
        <w:rPr>
          <w:lang w:val="en-US"/>
        </w:rPr>
        <w:t>)</w:t>
      </w:r>
    </w:p>
    <w:p w14:paraId="2EB16C3D" w14:textId="1D330568" w:rsidR="00E7793F" w:rsidRDefault="00E7793F" w:rsidP="00E7793F">
      <w:pPr>
        <w:rPr>
          <w:lang w:val="en-US"/>
        </w:rPr>
      </w:pPr>
      <w:r>
        <w:rPr>
          <w:lang w:val="en-US"/>
        </w:rPr>
        <w:t>A total of 3922 isolates had susceptibility to ertapenem reported, with an overall susceptibility of 61.3% (range: 42.77 to 82.94%)</w:t>
      </w:r>
    </w:p>
    <w:p w14:paraId="6CBFECC7" w14:textId="77777777" w:rsidR="00E7793F" w:rsidRDefault="00E7793F" w:rsidP="0028420C">
      <w:pPr>
        <w:rPr>
          <w:lang w:val="en-US"/>
        </w:rPr>
      </w:pPr>
    </w:p>
    <w:p w14:paraId="7CF2FF03" w14:textId="1EEFE98D" w:rsidR="0028420C" w:rsidRDefault="001038F6" w:rsidP="0028420C">
      <w:pPr>
        <w:rPr>
          <w:lang w:val="en-US"/>
        </w:rPr>
      </w:pPr>
      <w:r>
        <w:rPr>
          <w:noProof/>
        </w:rPr>
        <w:drawing>
          <wp:inline distT="0" distB="0" distL="0" distR="0" wp14:anchorId="74DF97E4" wp14:editId="359E7B63">
            <wp:extent cx="5731510" cy="3176905"/>
            <wp:effectExtent l="0" t="0" r="8890" b="10795"/>
            <wp:docPr id="1" name="Chart 1">
              <a:extLst xmlns:a="http://schemas.openxmlformats.org/drawingml/2006/main">
                <a:ext uri="{FF2B5EF4-FFF2-40B4-BE49-F238E27FC236}">
                  <a16:creationId xmlns:a16="http://schemas.microsoft.com/office/drawing/2014/main" id="{1E7B2776-C254-2A42-9E8A-CE3E6A353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E3CE276" w14:textId="71166487" w:rsidR="0028420C" w:rsidRPr="00A32BEF" w:rsidRDefault="00E10AE9" w:rsidP="0028420C">
      <w:pPr>
        <w:rPr>
          <w:lang w:val="en-US"/>
        </w:rPr>
      </w:pPr>
      <w:r>
        <w:rPr>
          <w:lang w:val="en-US"/>
        </w:rPr>
        <w:t xml:space="preserve">Figure </w:t>
      </w:r>
      <w:r w:rsidR="00C06C1B">
        <w:rPr>
          <w:lang w:val="en-US"/>
        </w:rPr>
        <w:t>2</w:t>
      </w:r>
      <w:r>
        <w:rPr>
          <w:lang w:val="en-US"/>
        </w:rPr>
        <w:t xml:space="preserve">. </w:t>
      </w:r>
      <w:r w:rsidR="00A32BEF">
        <w:rPr>
          <w:i/>
          <w:iCs/>
          <w:lang w:val="en-US"/>
        </w:rPr>
        <w:t xml:space="preserve">K. pneumoniae </w:t>
      </w:r>
      <w:r w:rsidR="00A32BEF">
        <w:rPr>
          <w:lang w:val="en-US"/>
        </w:rPr>
        <w:t>resistance phenotypes for year 2019</w:t>
      </w:r>
    </w:p>
    <w:p w14:paraId="06FB8CBD" w14:textId="676B877E" w:rsidR="00DC3065" w:rsidRPr="00DC3065" w:rsidRDefault="00DC3065" w:rsidP="00DC3065">
      <w:pPr>
        <w:rPr>
          <w:sz w:val="16"/>
          <w:szCs w:val="16"/>
          <w:lang w:val="en-US"/>
        </w:rPr>
      </w:pPr>
      <w:r>
        <w:rPr>
          <w:sz w:val="16"/>
          <w:szCs w:val="16"/>
          <w:lang w:val="en-US"/>
        </w:rPr>
        <w:t xml:space="preserve">WC – Western Cape; EC – Eastern Cape; KZN – </w:t>
      </w:r>
      <w:proofErr w:type="spellStart"/>
      <w:r>
        <w:rPr>
          <w:sz w:val="16"/>
          <w:szCs w:val="16"/>
          <w:lang w:val="en-US"/>
        </w:rPr>
        <w:t>Kwazulu</w:t>
      </w:r>
      <w:proofErr w:type="spellEnd"/>
      <w:r>
        <w:rPr>
          <w:sz w:val="16"/>
          <w:szCs w:val="16"/>
          <w:lang w:val="en-US"/>
        </w:rPr>
        <w:t xml:space="preserve"> Natal; NC – Northern Cape</w:t>
      </w:r>
      <w:r w:rsidR="00A32BEF">
        <w:rPr>
          <w:sz w:val="16"/>
          <w:szCs w:val="16"/>
          <w:lang w:val="en-US"/>
        </w:rPr>
        <w:t>; BSI – bloodstream isolates</w:t>
      </w:r>
    </w:p>
    <w:p w14:paraId="7644BF4F" w14:textId="49631B28" w:rsidR="0028420C" w:rsidRDefault="0028420C" w:rsidP="0028420C">
      <w:pPr>
        <w:rPr>
          <w:lang w:val="en-US"/>
        </w:rPr>
      </w:pPr>
    </w:p>
    <w:p w14:paraId="7A15A618" w14:textId="119EA946" w:rsidR="00E7793F" w:rsidRDefault="00990351" w:rsidP="0028420C">
      <w:pPr>
        <w:rPr>
          <w:lang w:val="en-US"/>
        </w:rPr>
      </w:pPr>
      <w:r>
        <w:rPr>
          <w:lang w:val="en-US"/>
        </w:rPr>
        <w:lastRenderedPageBreak/>
        <w:t xml:space="preserve">This corresponds to an overall ESBL rate of 64.85% and a CRE rate of 38.7%. </w:t>
      </w:r>
    </w:p>
    <w:p w14:paraId="0ED09310" w14:textId="6E636134" w:rsidR="007513ED" w:rsidRDefault="007513ED" w:rsidP="0028420C">
      <w:pPr>
        <w:rPr>
          <w:lang w:val="en-US"/>
        </w:rPr>
      </w:pPr>
      <w:r>
        <w:rPr>
          <w:lang w:val="en-US"/>
        </w:rPr>
        <w:t xml:space="preserve">In comparison to 2018 data (N = 3829) the ESBL and CRE rate were 63% and 30%, respectively. </w:t>
      </w:r>
    </w:p>
    <w:p w14:paraId="7594F3C9" w14:textId="10B2C42F" w:rsidR="00047866" w:rsidRDefault="00047866" w:rsidP="0028420C">
      <w:pPr>
        <w:rPr>
          <w:lang w:val="en-US"/>
        </w:rPr>
      </w:pPr>
      <w:r>
        <w:rPr>
          <w:lang w:val="en-US"/>
        </w:rPr>
        <w:t xml:space="preserve">The public sector </w:t>
      </w:r>
      <w:r w:rsidR="00E02A42">
        <w:rPr>
          <w:lang w:val="en-US"/>
        </w:rPr>
        <w:t xml:space="preserve">national </w:t>
      </w:r>
      <w:r>
        <w:rPr>
          <w:lang w:val="en-US"/>
        </w:rPr>
        <w:t xml:space="preserve">data for 2019 reflects an overall ESBL rate of </w:t>
      </w:r>
      <w:r w:rsidR="00E02A42">
        <w:rPr>
          <w:lang w:val="en-US"/>
        </w:rPr>
        <w:t>73</w:t>
      </w:r>
      <w:r>
        <w:rPr>
          <w:lang w:val="en-US"/>
        </w:rPr>
        <w:t>% and a CRE rate of 17%</w:t>
      </w:r>
      <w:r w:rsidR="004D7A7F">
        <w:rPr>
          <w:lang w:val="en-US"/>
        </w:rPr>
        <w:t xml:space="preserve">, with corresponding 2018 rates of 76% and 10%. </w:t>
      </w:r>
    </w:p>
    <w:p w14:paraId="77EAD02F" w14:textId="363D5E3B" w:rsidR="007513ED" w:rsidRDefault="007513ED" w:rsidP="0028420C">
      <w:pPr>
        <w:rPr>
          <w:lang w:val="en-US"/>
        </w:rPr>
      </w:pPr>
    </w:p>
    <w:p w14:paraId="30D01153" w14:textId="4E06B329" w:rsidR="006834CC" w:rsidRDefault="007513ED" w:rsidP="0028420C">
      <w:pPr>
        <w:rPr>
          <w:lang w:val="en-US"/>
        </w:rPr>
      </w:pPr>
      <w:r>
        <w:rPr>
          <w:lang w:val="en-US"/>
        </w:rPr>
        <w:t xml:space="preserve">Since 2017, with the introduction of the EUCAST guidelines by </w:t>
      </w:r>
      <w:r w:rsidR="004D7A7F">
        <w:rPr>
          <w:lang w:val="en-US"/>
        </w:rPr>
        <w:t>some</w:t>
      </w:r>
      <w:r>
        <w:rPr>
          <w:lang w:val="en-US"/>
        </w:rPr>
        <w:t xml:space="preserve"> laboratories, it is important to be aware of and to understand the implications of different guidelines on surveillance data. There are differences in interpretation and reporting and these will have an impact on submitted surveillance data that is aggregated. Figure 3 below provides an important example, where there are different breakpoints for the carbapenems meropenem, imipenem and </w:t>
      </w:r>
      <w:proofErr w:type="spellStart"/>
      <w:r>
        <w:rPr>
          <w:lang w:val="en-US"/>
        </w:rPr>
        <w:t>doripenem</w:t>
      </w:r>
      <w:proofErr w:type="spellEnd"/>
      <w:r>
        <w:rPr>
          <w:lang w:val="en-US"/>
        </w:rPr>
        <w:t>. The susceptible breakpoint for ertapenem (</w:t>
      </w:r>
      <w:r w:rsidR="00A25818">
        <w:rPr>
          <w:lang w:val="en-US"/>
        </w:rPr>
        <w:sym w:font="Symbol" w:char="F0A3"/>
      </w:r>
      <w:r w:rsidR="00A25818">
        <w:rPr>
          <w:lang w:val="en-US"/>
        </w:rPr>
        <w:t>0.5</w:t>
      </w:r>
      <w:r w:rsidR="00A25818">
        <w:rPr>
          <w:lang w:val="en-US"/>
        </w:rPr>
        <w:sym w:font="Symbol" w:char="F06D"/>
      </w:r>
      <w:r w:rsidR="00A25818">
        <w:rPr>
          <w:lang w:val="en-US"/>
        </w:rPr>
        <w:t xml:space="preserve">g/ml) is the same for CLSI and EUCAST and thus remains the best option for defining the CRE phenotype. However, for meropenem the CLSI susceptible breakpoint is </w:t>
      </w:r>
      <w:r w:rsidR="00A25818">
        <w:rPr>
          <w:lang w:val="en-US"/>
        </w:rPr>
        <w:sym w:font="Symbol" w:char="F0A3"/>
      </w:r>
      <w:r w:rsidR="00A25818">
        <w:rPr>
          <w:lang w:val="en-US"/>
        </w:rPr>
        <w:t>1</w:t>
      </w:r>
      <w:r w:rsidR="00A25818">
        <w:rPr>
          <w:lang w:val="en-US"/>
        </w:rPr>
        <w:sym w:font="Symbol" w:char="F06D"/>
      </w:r>
      <w:r w:rsidR="00A25818">
        <w:rPr>
          <w:lang w:val="en-US"/>
        </w:rPr>
        <w:t xml:space="preserve">g/ml and the EUCAST susceptible breakpoint is </w:t>
      </w:r>
      <w:r w:rsidR="00A25818">
        <w:rPr>
          <w:lang w:val="en-US"/>
        </w:rPr>
        <w:sym w:font="Symbol" w:char="F0A3"/>
      </w:r>
      <w:r w:rsidR="00A25818">
        <w:rPr>
          <w:lang w:val="en-US"/>
        </w:rPr>
        <w:t>2</w:t>
      </w:r>
      <w:r w:rsidR="00A25818">
        <w:rPr>
          <w:lang w:val="en-US"/>
        </w:rPr>
        <w:sym w:font="Symbol" w:char="F06D"/>
      </w:r>
      <w:r w:rsidR="00A25818">
        <w:rPr>
          <w:lang w:val="en-US"/>
        </w:rPr>
        <w:t xml:space="preserve">g/ml, a one-fold dilution difference. Considering that the most predominant </w:t>
      </w:r>
      <w:proofErr w:type="spellStart"/>
      <w:r w:rsidR="00A25818">
        <w:rPr>
          <w:lang w:val="en-US"/>
        </w:rPr>
        <w:t>carbapenemases</w:t>
      </w:r>
      <w:proofErr w:type="spellEnd"/>
      <w:r w:rsidR="00A25818">
        <w:rPr>
          <w:lang w:val="en-US"/>
        </w:rPr>
        <w:t xml:space="preserve"> in South Africa are the OXA-48</w:t>
      </w:r>
      <w:r w:rsidR="00A25818" w:rsidRPr="00A25818">
        <w:rPr>
          <w:i/>
          <w:iCs/>
          <w:vertAlign w:val="subscript"/>
          <w:lang w:val="en-US"/>
        </w:rPr>
        <w:t>like</w:t>
      </w:r>
      <w:r w:rsidR="00A25818">
        <w:rPr>
          <w:lang w:val="en-US"/>
        </w:rPr>
        <w:t xml:space="preserve"> </w:t>
      </w:r>
      <w:proofErr w:type="spellStart"/>
      <w:r w:rsidR="00A25818">
        <w:rPr>
          <w:lang w:val="en-US"/>
        </w:rPr>
        <w:t>carbapenemases</w:t>
      </w:r>
      <w:proofErr w:type="spellEnd"/>
      <w:r w:rsidR="00A25818">
        <w:rPr>
          <w:lang w:val="en-US"/>
        </w:rPr>
        <w:t>, where the carbapenem MICs are elevated but often still within the range of 2 – 8</w:t>
      </w:r>
      <w:r w:rsidR="00A25818">
        <w:rPr>
          <w:lang w:val="en-US"/>
        </w:rPr>
        <w:sym w:font="Symbol" w:char="F06D"/>
      </w:r>
      <w:r w:rsidR="00A25818">
        <w:rPr>
          <w:lang w:val="en-US"/>
        </w:rPr>
        <w:t xml:space="preserve">g/ml, this difference is important.  Furthermore, EUCAST defines the “I” category as </w:t>
      </w:r>
      <w:r w:rsidR="00A25818" w:rsidRPr="006834CC">
        <w:rPr>
          <w:b/>
          <w:bCs/>
          <w:lang w:val="en-US"/>
        </w:rPr>
        <w:t>“Susceptible, Increased exposure”</w:t>
      </w:r>
      <w:r w:rsidR="00A25818">
        <w:rPr>
          <w:lang w:val="en-US"/>
        </w:rPr>
        <w:t xml:space="preserve">. This definition means that meropenem can still be used with high likelihood of successful outcome provided that a higher dosage is used. </w:t>
      </w:r>
    </w:p>
    <w:p w14:paraId="6B54C7AF" w14:textId="16DEEA2E" w:rsidR="007513ED" w:rsidRDefault="00A25818" w:rsidP="0028420C">
      <w:pPr>
        <w:rPr>
          <w:lang w:val="en-US"/>
        </w:rPr>
      </w:pPr>
      <w:r>
        <w:rPr>
          <w:lang w:val="en-US"/>
        </w:rPr>
        <w:t xml:space="preserve">This is in contrast to the CLSI definition of “I”, which means </w:t>
      </w:r>
      <w:r w:rsidRPr="006834CC">
        <w:rPr>
          <w:b/>
          <w:bCs/>
          <w:lang w:val="en-US"/>
        </w:rPr>
        <w:t>“Intermediate”</w:t>
      </w:r>
      <w:r>
        <w:rPr>
          <w:lang w:val="en-US"/>
        </w:rPr>
        <w:t xml:space="preserve"> and is defined as </w:t>
      </w:r>
      <w:r w:rsidR="005B4AC4">
        <w:rPr>
          <w:lang w:val="en-US"/>
        </w:rPr>
        <w:t>follows: “</w:t>
      </w:r>
      <w:r w:rsidR="005B4AC4" w:rsidRPr="005B4AC4">
        <w:rPr>
          <w:lang w:val="en-US"/>
        </w:rPr>
        <w:t xml:space="preserve">A microorganism is defined as intermediate by a level of antimicrobial agent activity associated with </w:t>
      </w:r>
      <w:r w:rsidR="005B4AC4" w:rsidRPr="005B4AC4">
        <w:rPr>
          <w:b/>
          <w:bCs/>
          <w:lang w:val="en-US"/>
        </w:rPr>
        <w:t>uncertain therapeutic effect</w:t>
      </w:r>
      <w:r w:rsidR="005B4AC4" w:rsidRPr="005B4AC4">
        <w:rPr>
          <w:lang w:val="en-US"/>
        </w:rPr>
        <w:t xml:space="preserve">. It implies that an infection due to the isolate may be appropriately treated in body sites </w:t>
      </w:r>
      <w:r w:rsidR="005B4AC4" w:rsidRPr="005B4AC4">
        <w:rPr>
          <w:b/>
          <w:bCs/>
          <w:lang w:val="en-US"/>
        </w:rPr>
        <w:t xml:space="preserve">where the drugs are physiologically concentrated </w:t>
      </w:r>
      <w:r w:rsidR="005B4AC4" w:rsidRPr="005B4AC4">
        <w:rPr>
          <w:lang w:val="en-US"/>
        </w:rPr>
        <w:t xml:space="preserve">or when a </w:t>
      </w:r>
      <w:r w:rsidR="005B4AC4" w:rsidRPr="005B4AC4">
        <w:rPr>
          <w:b/>
          <w:bCs/>
          <w:lang w:val="en-US"/>
        </w:rPr>
        <w:t>high dosage of drug can be used</w:t>
      </w:r>
      <w:r w:rsidR="005B4AC4" w:rsidRPr="005B4AC4">
        <w:rPr>
          <w:lang w:val="en-US"/>
        </w:rPr>
        <w:t xml:space="preserve">; it also indicates a </w:t>
      </w:r>
      <w:r w:rsidR="005B4AC4" w:rsidRPr="005B4AC4">
        <w:rPr>
          <w:b/>
          <w:bCs/>
          <w:lang w:val="en-US"/>
        </w:rPr>
        <w:t xml:space="preserve">buffer zone that should prevent small, uncontrolled, technical factors </w:t>
      </w:r>
      <w:r w:rsidR="005B4AC4" w:rsidRPr="005B4AC4">
        <w:rPr>
          <w:lang w:val="en-US"/>
        </w:rPr>
        <w:t>from causing major discrepancies in interpretations</w:t>
      </w:r>
      <w:r w:rsidR="005B4AC4">
        <w:rPr>
          <w:lang w:val="en-US"/>
        </w:rPr>
        <w:t xml:space="preserve">”. </w:t>
      </w:r>
      <w:proofErr w:type="gramStart"/>
      <w:r w:rsidR="005B4AC4">
        <w:rPr>
          <w:lang w:val="en-US"/>
        </w:rPr>
        <w:t>So</w:t>
      </w:r>
      <w:proofErr w:type="gramEnd"/>
      <w:r w:rsidR="005B4AC4">
        <w:rPr>
          <w:lang w:val="en-US"/>
        </w:rPr>
        <w:t xml:space="preserve"> there is some </w:t>
      </w:r>
      <w:r w:rsidR="006834CC">
        <w:rPr>
          <w:lang w:val="en-US"/>
        </w:rPr>
        <w:t>similarity</w:t>
      </w:r>
      <w:r w:rsidR="005B4AC4">
        <w:rPr>
          <w:lang w:val="en-US"/>
        </w:rPr>
        <w:t xml:space="preserve"> in the </w:t>
      </w:r>
      <w:r w:rsidR="006834CC">
        <w:rPr>
          <w:lang w:val="en-US"/>
        </w:rPr>
        <w:t xml:space="preserve">two </w:t>
      </w:r>
      <w:r w:rsidR="005B4AC4">
        <w:rPr>
          <w:lang w:val="en-US"/>
        </w:rPr>
        <w:t>definition</w:t>
      </w:r>
      <w:r w:rsidR="006834CC">
        <w:rPr>
          <w:lang w:val="en-US"/>
        </w:rPr>
        <w:t>s</w:t>
      </w:r>
      <w:r w:rsidR="005B4AC4">
        <w:rPr>
          <w:lang w:val="en-US"/>
        </w:rPr>
        <w:t xml:space="preserve"> but the </w:t>
      </w:r>
      <w:r w:rsidR="005F173E">
        <w:rPr>
          <w:lang w:val="en-US"/>
        </w:rPr>
        <w:t>additional</w:t>
      </w:r>
      <w:r w:rsidR="00A32BEF">
        <w:rPr>
          <w:lang w:val="en-US"/>
        </w:rPr>
        <w:t xml:space="preserve"> </w:t>
      </w:r>
      <w:r w:rsidR="005B4AC4">
        <w:rPr>
          <w:lang w:val="en-US"/>
        </w:rPr>
        <w:t xml:space="preserve">components </w:t>
      </w:r>
      <w:r w:rsidR="006834CC">
        <w:rPr>
          <w:lang w:val="en-US"/>
        </w:rPr>
        <w:t xml:space="preserve">in the CLSI definition </w:t>
      </w:r>
      <w:r w:rsidR="005B4AC4">
        <w:rPr>
          <w:lang w:val="en-US"/>
        </w:rPr>
        <w:t>often prohibit its widespread use in terms of the clinical interpretation.</w:t>
      </w:r>
    </w:p>
    <w:p w14:paraId="00CAB64A" w14:textId="77777777" w:rsidR="006834CC" w:rsidRDefault="006834CC" w:rsidP="0028420C">
      <w:pPr>
        <w:rPr>
          <w:lang w:val="en-US"/>
        </w:rPr>
      </w:pPr>
    </w:p>
    <w:p w14:paraId="4CF1461D" w14:textId="6D3453BA" w:rsidR="006834CC" w:rsidRDefault="00A25818" w:rsidP="0028420C">
      <w:pPr>
        <w:rPr>
          <w:lang w:val="en-US"/>
        </w:rPr>
      </w:pPr>
      <w:r>
        <w:rPr>
          <w:lang w:val="en-US"/>
        </w:rPr>
        <w:t>Figure 3 highlights the differences in susceptibility according to different laboratories reporting guidelines and illustrates the potential “susceptibility” gain when interpreting the “I” category as susceptible</w:t>
      </w:r>
      <w:r w:rsidR="005B4AC4">
        <w:rPr>
          <w:lang w:val="en-US"/>
        </w:rPr>
        <w:t>. Only one laboratory was utilizing EUCAST for the full 2019 period</w:t>
      </w:r>
      <w:r w:rsidR="006834CC">
        <w:rPr>
          <w:lang w:val="en-US"/>
        </w:rPr>
        <w:t>,</w:t>
      </w:r>
      <w:r w:rsidR="005B4AC4">
        <w:rPr>
          <w:lang w:val="en-US"/>
        </w:rPr>
        <w:t xml:space="preserve"> with 2 others only using CLSI</w:t>
      </w:r>
      <w:r w:rsidR="006834CC">
        <w:rPr>
          <w:lang w:val="en-US"/>
        </w:rPr>
        <w:t>,</w:t>
      </w:r>
      <w:r w:rsidR="005B4AC4">
        <w:rPr>
          <w:lang w:val="en-US"/>
        </w:rPr>
        <w:t xml:space="preserve"> and the 4</w:t>
      </w:r>
      <w:r w:rsidR="005B4AC4" w:rsidRPr="005B4AC4">
        <w:rPr>
          <w:vertAlign w:val="superscript"/>
          <w:lang w:val="en-US"/>
        </w:rPr>
        <w:t>th</w:t>
      </w:r>
      <w:r w:rsidR="005B4AC4">
        <w:rPr>
          <w:lang w:val="en-US"/>
        </w:rPr>
        <w:t xml:space="preserve"> switching to EUCAST midway through 2019. Considering the dramatic rise in the CRE rate and that carbapenems still remain very useful in treatment of these isolates a 10% gain in susceptibility is clinically relevant.</w:t>
      </w:r>
      <w:r w:rsidR="006834CC">
        <w:rPr>
          <w:lang w:val="en-US"/>
        </w:rPr>
        <w:t xml:space="preserve"> </w:t>
      </w:r>
    </w:p>
    <w:p w14:paraId="655C5004" w14:textId="21769773" w:rsidR="0056319A" w:rsidRDefault="0056319A" w:rsidP="0028420C">
      <w:pPr>
        <w:rPr>
          <w:lang w:val="en-US"/>
        </w:rPr>
      </w:pPr>
    </w:p>
    <w:p w14:paraId="5D9CE321" w14:textId="4F997552" w:rsidR="0056319A" w:rsidRDefault="0056319A" w:rsidP="0028420C">
      <w:pPr>
        <w:rPr>
          <w:lang w:val="en-US"/>
        </w:rPr>
      </w:pPr>
      <w:r>
        <w:rPr>
          <w:noProof/>
        </w:rPr>
        <w:lastRenderedPageBreak/>
        <w:drawing>
          <wp:inline distT="0" distB="0" distL="0" distR="0" wp14:anchorId="7A1D6088" wp14:editId="2A084273">
            <wp:extent cx="5731510" cy="3423285"/>
            <wp:effectExtent l="0" t="0" r="8890" b="18415"/>
            <wp:docPr id="3" name="Chart 3">
              <a:extLst xmlns:a="http://schemas.openxmlformats.org/drawingml/2006/main">
                <a:ext uri="{FF2B5EF4-FFF2-40B4-BE49-F238E27FC236}">
                  <a16:creationId xmlns:a16="http://schemas.microsoft.com/office/drawing/2014/main" id="{0FAE8ADC-9757-1840-B794-BAF5771E24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D36BB7B" w14:textId="42EFA885" w:rsidR="005B4AC4" w:rsidRDefault="005B4AC4" w:rsidP="0028420C">
      <w:pPr>
        <w:rPr>
          <w:lang w:val="en-US"/>
        </w:rPr>
      </w:pPr>
      <w:r>
        <w:rPr>
          <w:lang w:val="en-US"/>
        </w:rPr>
        <w:t xml:space="preserve">Figure 3. </w:t>
      </w:r>
      <w:r w:rsidR="00A32BEF">
        <w:rPr>
          <w:lang w:val="en-US"/>
        </w:rPr>
        <w:t xml:space="preserve">Susceptibility </w:t>
      </w:r>
      <w:r w:rsidR="006834CC">
        <w:rPr>
          <w:lang w:val="en-US"/>
        </w:rPr>
        <w:t xml:space="preserve">of </w:t>
      </w:r>
      <w:r w:rsidR="006834CC">
        <w:rPr>
          <w:i/>
          <w:iCs/>
          <w:lang w:val="en-US"/>
        </w:rPr>
        <w:t xml:space="preserve">K. pneumoniae </w:t>
      </w:r>
      <w:r w:rsidR="00A32BEF">
        <w:rPr>
          <w:lang w:val="en-US"/>
        </w:rPr>
        <w:t>to meropenem according to different laboratories antimicrobial susceptibility reporting guidelines.</w:t>
      </w:r>
    </w:p>
    <w:p w14:paraId="7F20D014" w14:textId="28DB8056" w:rsidR="006834CC" w:rsidRDefault="006834CC" w:rsidP="0028420C">
      <w:pPr>
        <w:rPr>
          <w:lang w:val="en-US"/>
        </w:rPr>
      </w:pPr>
    </w:p>
    <w:p w14:paraId="07D71A78" w14:textId="5475E352" w:rsidR="006834CC" w:rsidRPr="0028420C" w:rsidRDefault="005C670F" w:rsidP="0028420C">
      <w:pPr>
        <w:rPr>
          <w:lang w:val="en-US"/>
        </w:rPr>
      </w:pPr>
      <w:r>
        <w:rPr>
          <w:lang w:val="en-US"/>
        </w:rPr>
        <w:t xml:space="preserve">The dynamic and evolving nature of AST and reporting guidelines has significant implications for </w:t>
      </w:r>
      <w:r w:rsidR="005D3771">
        <w:rPr>
          <w:lang w:val="en-US"/>
        </w:rPr>
        <w:t xml:space="preserve">treatment and </w:t>
      </w:r>
      <w:r>
        <w:rPr>
          <w:lang w:val="en-US"/>
        </w:rPr>
        <w:t xml:space="preserve">surveillance data, especially with respect to the interpretation of that data. For </w:t>
      </w:r>
      <w:r w:rsidR="004D7A7F">
        <w:rPr>
          <w:lang w:val="en-US"/>
        </w:rPr>
        <w:t>example,</w:t>
      </w:r>
      <w:r>
        <w:rPr>
          <w:lang w:val="en-US"/>
        </w:rPr>
        <w:t xml:space="preserve"> considering overall </w:t>
      </w:r>
      <w:r w:rsidR="006834CC">
        <w:rPr>
          <w:lang w:val="en-US"/>
        </w:rPr>
        <w:t>antimicrobial susceptibility</w:t>
      </w:r>
      <w:r>
        <w:rPr>
          <w:lang w:val="en-US"/>
        </w:rPr>
        <w:t xml:space="preserve"> </w:t>
      </w:r>
      <w:r w:rsidR="006834CC">
        <w:rPr>
          <w:lang w:val="en-US"/>
        </w:rPr>
        <w:t xml:space="preserve">it may be important to report susceptibility with inclusion of the “I” </w:t>
      </w:r>
      <w:r>
        <w:rPr>
          <w:lang w:val="en-US"/>
        </w:rPr>
        <w:t>category considering the implied susceptibility within the definitions.</w:t>
      </w:r>
      <w:r w:rsidR="004D7A7F">
        <w:rPr>
          <w:lang w:val="en-US"/>
        </w:rPr>
        <w:t xml:space="preserve"> </w:t>
      </w:r>
      <w:r w:rsidR="005D3771">
        <w:rPr>
          <w:lang w:val="en-US"/>
        </w:rPr>
        <w:t>To date presented surveillance data has included the “I” category as part of the non-susceptible group.</w:t>
      </w:r>
      <w:r w:rsidR="003D47AF">
        <w:rPr>
          <w:lang w:val="en-US"/>
        </w:rPr>
        <w:t xml:space="preserve"> </w:t>
      </w:r>
    </w:p>
    <w:sectPr w:rsidR="006834CC" w:rsidRPr="00284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0C"/>
    <w:rsid w:val="000268D4"/>
    <w:rsid w:val="00037BAB"/>
    <w:rsid w:val="00047866"/>
    <w:rsid w:val="0008788F"/>
    <w:rsid w:val="000B1793"/>
    <w:rsid w:val="000F6C6C"/>
    <w:rsid w:val="001038F6"/>
    <w:rsid w:val="001F24C0"/>
    <w:rsid w:val="002509BD"/>
    <w:rsid w:val="002832E2"/>
    <w:rsid w:val="0028420C"/>
    <w:rsid w:val="00294FF8"/>
    <w:rsid w:val="002C4DF3"/>
    <w:rsid w:val="002C55E5"/>
    <w:rsid w:val="003378CE"/>
    <w:rsid w:val="00346AF6"/>
    <w:rsid w:val="00355C87"/>
    <w:rsid w:val="00383268"/>
    <w:rsid w:val="00395A02"/>
    <w:rsid w:val="003D47AF"/>
    <w:rsid w:val="00417644"/>
    <w:rsid w:val="00422CD5"/>
    <w:rsid w:val="004960F6"/>
    <w:rsid w:val="004D7A7F"/>
    <w:rsid w:val="004E516C"/>
    <w:rsid w:val="00505441"/>
    <w:rsid w:val="0053265C"/>
    <w:rsid w:val="00536DA0"/>
    <w:rsid w:val="0056319A"/>
    <w:rsid w:val="005746DE"/>
    <w:rsid w:val="005B4399"/>
    <w:rsid w:val="005B4AC4"/>
    <w:rsid w:val="005C670F"/>
    <w:rsid w:val="005D3771"/>
    <w:rsid w:val="005D4ACF"/>
    <w:rsid w:val="005F173E"/>
    <w:rsid w:val="0066653A"/>
    <w:rsid w:val="006834CC"/>
    <w:rsid w:val="006A0CF1"/>
    <w:rsid w:val="006E569E"/>
    <w:rsid w:val="006F1388"/>
    <w:rsid w:val="007513ED"/>
    <w:rsid w:val="00795BE0"/>
    <w:rsid w:val="0087339B"/>
    <w:rsid w:val="00874667"/>
    <w:rsid w:val="00990351"/>
    <w:rsid w:val="00992E45"/>
    <w:rsid w:val="009F5D6A"/>
    <w:rsid w:val="00A25818"/>
    <w:rsid w:val="00A32BEF"/>
    <w:rsid w:val="00AA0290"/>
    <w:rsid w:val="00B80CD7"/>
    <w:rsid w:val="00C06C1B"/>
    <w:rsid w:val="00C06EB4"/>
    <w:rsid w:val="00C15CF8"/>
    <w:rsid w:val="00C228A6"/>
    <w:rsid w:val="00C22FA7"/>
    <w:rsid w:val="00C31C41"/>
    <w:rsid w:val="00C924B6"/>
    <w:rsid w:val="00CA4385"/>
    <w:rsid w:val="00D43282"/>
    <w:rsid w:val="00D561CA"/>
    <w:rsid w:val="00D70284"/>
    <w:rsid w:val="00DB56C5"/>
    <w:rsid w:val="00DC3065"/>
    <w:rsid w:val="00E02A42"/>
    <w:rsid w:val="00E10AE9"/>
    <w:rsid w:val="00E46689"/>
    <w:rsid w:val="00E540A5"/>
    <w:rsid w:val="00E7793F"/>
    <w:rsid w:val="00E8325E"/>
    <w:rsid w:val="00F5285A"/>
    <w:rsid w:val="00FC3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4748"/>
  <w15:chartTrackingRefBased/>
  <w15:docId w15:val="{593B92E7-BCB9-7E4D-83A8-B207DC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var\folders\dk\sstlr5cn2nz9q_0rdmqg5c3w0000gn\T\attachments\6a9282bc-9423-4a62-9eb8-05c05f0ee5ea\f8e09e49-428c-4aef-b678-ef25ae75714c\OrganismStatistic_SASCM%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ar\folders\dk\sstlr5cn2nz9q_0rdmqg5c3w0000gn\T\attachments\6a9282bc-9423-4a62-9eb8-05c05f0ee5ea\f8e09e49-428c-4aef-b678-ef25ae75714c\OrganismStatistic_SASCM%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ar\folders\dk\sstlr5cn2nz9q_0rdmqg5c3w0000gn\T\attachments\6a9282bc-9423-4a62-9eb8-05c05f0ee5ea\f8e09e49-428c-4aef-b678-ef25ae75714c\OrganismStatistic_SASCM%2020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Susceptibility</a:t>
            </a:r>
            <a:r>
              <a:rPr lang="en-US" sz="1400" b="0" i="0" u="none" strike="noStrike" baseline="0"/>
              <a:t> of indicator agents for </a:t>
            </a:r>
            <a:r>
              <a:rPr lang="en-US" i="1"/>
              <a:t>Klebsiella</a:t>
            </a:r>
            <a:r>
              <a:rPr lang="en-US" i="1" baseline="0"/>
              <a:t> pneumoniae </a:t>
            </a:r>
            <a:r>
              <a:rPr lang="en-US" i="0" baseline="0"/>
              <a:t>BSI isolates by region (%)</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'Combined Klebs data'!$AD$2:$AF$2</c:f>
              <c:strCache>
                <c:ptCount val="1"/>
                <c:pt idx="0">
                  <c:v>Ertapenem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'Combined Klebs data'!$C$13:$C$21</c:f>
              <c:strCache>
                <c:ptCount val="9"/>
                <c:pt idx="0">
                  <c:v>Gauteng</c:v>
                </c:pt>
                <c:pt idx="1">
                  <c:v>WC</c:v>
                </c:pt>
                <c:pt idx="2">
                  <c:v>EC</c:v>
                </c:pt>
                <c:pt idx="3">
                  <c:v>Mpumalanga</c:v>
                </c:pt>
                <c:pt idx="4">
                  <c:v>KZN</c:v>
                </c:pt>
                <c:pt idx="5">
                  <c:v>Free State</c:v>
                </c:pt>
                <c:pt idx="6">
                  <c:v>Limpopo</c:v>
                </c:pt>
                <c:pt idx="7">
                  <c:v>North West</c:v>
                </c:pt>
                <c:pt idx="8">
                  <c:v>NC</c:v>
                </c:pt>
              </c:strCache>
            </c:strRef>
          </c:cat>
          <c:val>
            <c:numRef>
              <c:f>'Combined Klebs data'!$AF$13:$AF$21</c:f>
              <c:numCache>
                <c:formatCode>0.00</c:formatCode>
                <c:ptCount val="9"/>
                <c:pt idx="0">
                  <c:v>52.623376623376629</c:v>
                </c:pt>
                <c:pt idx="1">
                  <c:v>82.942430703624737</c:v>
                </c:pt>
                <c:pt idx="2">
                  <c:v>79.207920792079207</c:v>
                </c:pt>
                <c:pt idx="3">
                  <c:v>62.376237623762378</c:v>
                </c:pt>
                <c:pt idx="4">
                  <c:v>79.950495049504951</c:v>
                </c:pt>
                <c:pt idx="5">
                  <c:v>65.587044534412954</c:v>
                </c:pt>
                <c:pt idx="6">
                  <c:v>57.26495726495726</c:v>
                </c:pt>
                <c:pt idx="7">
                  <c:v>42.771084337349393</c:v>
                </c:pt>
                <c:pt idx="8">
                  <c:v>72.549019607843135</c:v>
                </c:pt>
              </c:numCache>
            </c:numRef>
          </c:val>
          <c:extLst>
            <c:ext xmlns:c16="http://schemas.microsoft.com/office/drawing/2014/chart" uri="{C3380CC4-5D6E-409C-BE32-E72D297353CC}">
              <c16:uniqueId val="{00000000-4629-6B4A-8FCB-F69F7AF4D00D}"/>
            </c:ext>
          </c:extLst>
        </c:ser>
        <c:ser>
          <c:idx val="1"/>
          <c:order val="1"/>
          <c:tx>
            <c:strRef>
              <c:f>'Combined Klebs data'!$X$2:$Z$2</c:f>
              <c:strCache>
                <c:ptCount val="1"/>
                <c:pt idx="0">
                  <c:v>Ceftriaxone/Cefotaxime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'Combined Klebs data'!$C$13:$C$21</c:f>
              <c:strCache>
                <c:ptCount val="9"/>
                <c:pt idx="0">
                  <c:v>Gauteng</c:v>
                </c:pt>
                <c:pt idx="1">
                  <c:v>WC</c:v>
                </c:pt>
                <c:pt idx="2">
                  <c:v>EC</c:v>
                </c:pt>
                <c:pt idx="3">
                  <c:v>Mpumalanga</c:v>
                </c:pt>
                <c:pt idx="4">
                  <c:v>KZN</c:v>
                </c:pt>
                <c:pt idx="5">
                  <c:v>Free State</c:v>
                </c:pt>
                <c:pt idx="6">
                  <c:v>Limpopo</c:v>
                </c:pt>
                <c:pt idx="7">
                  <c:v>North West</c:v>
                </c:pt>
                <c:pt idx="8">
                  <c:v>NC</c:v>
                </c:pt>
              </c:strCache>
            </c:strRef>
          </c:cat>
          <c:val>
            <c:numRef>
              <c:f>'Combined Klebs data'!$Z$13:$Z$21</c:f>
              <c:numCache>
                <c:formatCode>0.00</c:formatCode>
                <c:ptCount val="9"/>
                <c:pt idx="0">
                  <c:v>29.350649350649348</c:v>
                </c:pt>
                <c:pt idx="1">
                  <c:v>51.717171717171716</c:v>
                </c:pt>
                <c:pt idx="2">
                  <c:v>45.214521452145213</c:v>
                </c:pt>
                <c:pt idx="3">
                  <c:v>24.271844660194176</c:v>
                </c:pt>
                <c:pt idx="4">
                  <c:v>44.059405940594061</c:v>
                </c:pt>
                <c:pt idx="5">
                  <c:v>37.096774193548384</c:v>
                </c:pt>
                <c:pt idx="6">
                  <c:v>21.367521367521366</c:v>
                </c:pt>
                <c:pt idx="7">
                  <c:v>26.40449438202247</c:v>
                </c:pt>
                <c:pt idx="8">
                  <c:v>37.254901960784316</c:v>
                </c:pt>
              </c:numCache>
            </c:numRef>
          </c:val>
          <c:extLst>
            <c:ext xmlns:c16="http://schemas.microsoft.com/office/drawing/2014/chart" uri="{C3380CC4-5D6E-409C-BE32-E72D297353CC}">
              <c16:uniqueId val="{00000001-4629-6B4A-8FCB-F69F7AF4D00D}"/>
            </c:ext>
          </c:extLst>
        </c:ser>
        <c:dLbls>
          <c:showLegendKey val="0"/>
          <c:showVal val="1"/>
          <c:showCatName val="0"/>
          <c:showSerName val="0"/>
          <c:showPercent val="0"/>
          <c:showBubbleSize val="0"/>
        </c:dLbls>
        <c:gapWidth val="150"/>
        <c:overlap val="-25"/>
        <c:axId val="413466671"/>
        <c:axId val="413200095"/>
      </c:barChart>
      <c:catAx>
        <c:axId val="413466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200095"/>
        <c:crossesAt val="0"/>
        <c:auto val="1"/>
        <c:lblAlgn val="ctr"/>
        <c:lblOffset val="100"/>
        <c:noMultiLvlLbl val="0"/>
      </c:catAx>
      <c:valAx>
        <c:axId val="413200095"/>
        <c:scaling>
          <c:orientation val="minMax"/>
          <c:max val="100"/>
        </c:scaling>
        <c:delete val="1"/>
        <c:axPos val="l"/>
        <c:numFmt formatCode="0" sourceLinked="0"/>
        <c:majorTickMark val="none"/>
        <c:minorTickMark val="none"/>
        <c:tickLblPos val="nextTo"/>
        <c:crossAx val="41346667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i="0"/>
              <a:t>BSI</a:t>
            </a:r>
            <a:r>
              <a:rPr lang="en-GB" i="1"/>
              <a:t> K. pneumoniae </a:t>
            </a:r>
            <a:r>
              <a:rPr lang="en-GB"/>
              <a:t>phenotype by region in 2019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'Combined Klebs data'!$AG$12</c:f>
              <c:strCache>
                <c:ptCount val="1"/>
                <c:pt idx="0">
                  <c:v>CRE 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'Combined Klebs data'!$C$13:$C$21</c:f>
              <c:strCache>
                <c:ptCount val="9"/>
                <c:pt idx="0">
                  <c:v>Gauteng</c:v>
                </c:pt>
                <c:pt idx="1">
                  <c:v>WC</c:v>
                </c:pt>
                <c:pt idx="2">
                  <c:v>EC</c:v>
                </c:pt>
                <c:pt idx="3">
                  <c:v>Mpumalanga</c:v>
                </c:pt>
                <c:pt idx="4">
                  <c:v>KZN</c:v>
                </c:pt>
                <c:pt idx="5">
                  <c:v>Free State</c:v>
                </c:pt>
                <c:pt idx="6">
                  <c:v>Limpopo</c:v>
                </c:pt>
                <c:pt idx="7">
                  <c:v>North West</c:v>
                </c:pt>
                <c:pt idx="8">
                  <c:v>NC</c:v>
                </c:pt>
              </c:strCache>
            </c:strRef>
          </c:cat>
          <c:val>
            <c:numRef>
              <c:f>'Combined Klebs data'!$AG$13:$AG$21</c:f>
              <c:numCache>
                <c:formatCode>0.00</c:formatCode>
                <c:ptCount val="9"/>
                <c:pt idx="0">
                  <c:v>47.376623376623371</c:v>
                </c:pt>
                <c:pt idx="1">
                  <c:v>17.057569296375263</c:v>
                </c:pt>
                <c:pt idx="2">
                  <c:v>20.792079207920793</c:v>
                </c:pt>
                <c:pt idx="3">
                  <c:v>37.623762376237622</c:v>
                </c:pt>
                <c:pt idx="4">
                  <c:v>20.049504950495049</c:v>
                </c:pt>
                <c:pt idx="5">
                  <c:v>34.412955465587046</c:v>
                </c:pt>
                <c:pt idx="6">
                  <c:v>42.73504273504274</c:v>
                </c:pt>
                <c:pt idx="7">
                  <c:v>57.228915662650607</c:v>
                </c:pt>
                <c:pt idx="8">
                  <c:v>27.450980392156865</c:v>
                </c:pt>
              </c:numCache>
            </c:numRef>
          </c:val>
          <c:extLst>
            <c:ext xmlns:c16="http://schemas.microsoft.com/office/drawing/2014/chart" uri="{C3380CC4-5D6E-409C-BE32-E72D297353CC}">
              <c16:uniqueId val="{00000000-5AA7-064B-83C1-17E6BC78CD71}"/>
            </c:ext>
          </c:extLst>
        </c:ser>
        <c:ser>
          <c:idx val="1"/>
          <c:order val="1"/>
          <c:tx>
            <c:strRef>
              <c:f>'Combined Klebs data'!$AA$12</c:f>
              <c:strCache>
                <c:ptCount val="1"/>
                <c:pt idx="0">
                  <c:v>ESBL rate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'Combined Klebs data'!$C$13:$C$21</c:f>
              <c:strCache>
                <c:ptCount val="9"/>
                <c:pt idx="0">
                  <c:v>Gauteng</c:v>
                </c:pt>
                <c:pt idx="1">
                  <c:v>WC</c:v>
                </c:pt>
                <c:pt idx="2">
                  <c:v>EC</c:v>
                </c:pt>
                <c:pt idx="3">
                  <c:v>Mpumalanga</c:v>
                </c:pt>
                <c:pt idx="4">
                  <c:v>KZN</c:v>
                </c:pt>
                <c:pt idx="5">
                  <c:v>Free State</c:v>
                </c:pt>
                <c:pt idx="6">
                  <c:v>Limpopo</c:v>
                </c:pt>
                <c:pt idx="7">
                  <c:v>North West</c:v>
                </c:pt>
                <c:pt idx="8">
                  <c:v>NC</c:v>
                </c:pt>
              </c:strCache>
            </c:strRef>
          </c:cat>
          <c:val>
            <c:numRef>
              <c:f>'Combined Klebs data'!$AA$13:$AA$21</c:f>
              <c:numCache>
                <c:formatCode>0.00</c:formatCode>
                <c:ptCount val="9"/>
                <c:pt idx="0">
                  <c:v>70.649350649350652</c:v>
                </c:pt>
                <c:pt idx="1">
                  <c:v>48.282828282828284</c:v>
                </c:pt>
                <c:pt idx="2">
                  <c:v>54.785478547854787</c:v>
                </c:pt>
                <c:pt idx="3">
                  <c:v>75.728155339805824</c:v>
                </c:pt>
                <c:pt idx="4">
                  <c:v>55.940594059405939</c:v>
                </c:pt>
                <c:pt idx="5">
                  <c:v>62.903225806451616</c:v>
                </c:pt>
                <c:pt idx="6">
                  <c:v>78.632478632478637</c:v>
                </c:pt>
                <c:pt idx="7">
                  <c:v>73.595505617977523</c:v>
                </c:pt>
                <c:pt idx="8">
                  <c:v>62.745098039215684</c:v>
                </c:pt>
              </c:numCache>
            </c:numRef>
          </c:val>
          <c:extLst>
            <c:ext xmlns:c16="http://schemas.microsoft.com/office/drawing/2014/chart" uri="{C3380CC4-5D6E-409C-BE32-E72D297353CC}">
              <c16:uniqueId val="{00000001-5AA7-064B-83C1-17E6BC78CD71}"/>
            </c:ext>
          </c:extLst>
        </c:ser>
        <c:dLbls>
          <c:showLegendKey val="0"/>
          <c:showVal val="1"/>
          <c:showCatName val="0"/>
          <c:showSerName val="0"/>
          <c:showPercent val="0"/>
          <c:showBubbleSize val="0"/>
        </c:dLbls>
        <c:gapWidth val="150"/>
        <c:overlap val="-25"/>
        <c:axId val="413466671"/>
        <c:axId val="413200095"/>
      </c:barChart>
      <c:catAx>
        <c:axId val="413466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200095"/>
        <c:crossesAt val="0"/>
        <c:auto val="1"/>
        <c:lblAlgn val="ctr"/>
        <c:lblOffset val="100"/>
        <c:noMultiLvlLbl val="0"/>
      </c:catAx>
      <c:valAx>
        <c:axId val="413200095"/>
        <c:scaling>
          <c:orientation val="minMax"/>
          <c:max val="100"/>
        </c:scaling>
        <c:delete val="1"/>
        <c:axPos val="l"/>
        <c:numFmt formatCode="0" sourceLinked="0"/>
        <c:majorTickMark val="none"/>
        <c:minorTickMark val="none"/>
        <c:tickLblPos val="nextTo"/>
        <c:crossAx val="41346667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Meropenem Susceptibility - comparison of "S" vs "S+I"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'Combined Klebs data'!$AJ$12:$AM$12</c:f>
              <c:strCache>
                <c:ptCount val="1"/>
                <c:pt idx="0">
                  <c:v>Susceptibility (S)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'Combined Klebs data'!$AI$14:$AI$17</c:f>
              <c:strCache>
                <c:ptCount val="4"/>
                <c:pt idx="0">
                  <c:v>EUCAST</c:v>
                </c:pt>
                <c:pt idx="1">
                  <c:v>CLSI</c:v>
                </c:pt>
                <c:pt idx="2">
                  <c:v>CLSI/EUCAST</c:v>
                </c:pt>
                <c:pt idx="3">
                  <c:v>CLSI</c:v>
                </c:pt>
              </c:strCache>
            </c:strRef>
          </c:cat>
          <c:val>
            <c:numRef>
              <c:f>'Combined Klebs data'!$AL$14:$AL$17</c:f>
              <c:numCache>
                <c:formatCode>General</c:formatCode>
                <c:ptCount val="4"/>
                <c:pt idx="0">
                  <c:v>73</c:v>
                </c:pt>
                <c:pt idx="1">
                  <c:v>85</c:v>
                </c:pt>
                <c:pt idx="2">
                  <c:v>68</c:v>
                </c:pt>
                <c:pt idx="3">
                  <c:v>68</c:v>
                </c:pt>
              </c:numCache>
            </c:numRef>
          </c:val>
          <c:extLst>
            <c:ext xmlns:c16="http://schemas.microsoft.com/office/drawing/2014/chart" uri="{C3380CC4-5D6E-409C-BE32-E72D297353CC}">
              <c16:uniqueId val="{00000000-B5EE-9740-AB71-5F314B663F7A}"/>
            </c:ext>
          </c:extLst>
        </c:ser>
        <c:ser>
          <c:idx val="1"/>
          <c:order val="1"/>
          <c:tx>
            <c:strRef>
              <c:f>'Combined Klebs data'!$AO$12:$AR$12</c:f>
              <c:strCache>
                <c:ptCount val="1"/>
                <c:pt idx="0">
                  <c:v>Susceptibility (S &amp; 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'Combined Klebs data'!$AI$14:$AI$17</c:f>
              <c:strCache>
                <c:ptCount val="4"/>
                <c:pt idx="0">
                  <c:v>EUCAST</c:v>
                </c:pt>
                <c:pt idx="1">
                  <c:v>CLSI</c:v>
                </c:pt>
                <c:pt idx="2">
                  <c:v>CLSI/EUCAST</c:v>
                </c:pt>
                <c:pt idx="3">
                  <c:v>CLSI</c:v>
                </c:pt>
              </c:strCache>
            </c:strRef>
          </c:cat>
          <c:val>
            <c:numRef>
              <c:f>'Combined Klebs data'!$AQ$14:$AQ$17</c:f>
              <c:numCache>
                <c:formatCode>0</c:formatCode>
                <c:ptCount val="4"/>
                <c:pt idx="0">
                  <c:v>83.045977011494259</c:v>
                </c:pt>
                <c:pt idx="1">
                  <c:v>86.245353159851305</c:v>
                </c:pt>
                <c:pt idx="2">
                  <c:v>73.527420446851721</c:v>
                </c:pt>
                <c:pt idx="3">
                  <c:v>72.89204097714736</c:v>
                </c:pt>
              </c:numCache>
            </c:numRef>
          </c:val>
          <c:extLst>
            <c:ext xmlns:c16="http://schemas.microsoft.com/office/drawing/2014/chart" uri="{C3380CC4-5D6E-409C-BE32-E72D297353CC}">
              <c16:uniqueId val="{00000001-B5EE-9740-AB71-5F314B663F7A}"/>
            </c:ext>
          </c:extLst>
        </c:ser>
        <c:dLbls>
          <c:showLegendKey val="0"/>
          <c:showVal val="1"/>
          <c:showCatName val="0"/>
          <c:showSerName val="0"/>
          <c:showPercent val="0"/>
          <c:showBubbleSize val="0"/>
        </c:dLbls>
        <c:gapWidth val="150"/>
        <c:overlap val="-25"/>
        <c:axId val="941902143"/>
        <c:axId val="941915439"/>
      </c:barChart>
      <c:catAx>
        <c:axId val="941902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915439"/>
        <c:crosses val="autoZero"/>
        <c:auto val="1"/>
        <c:lblAlgn val="ctr"/>
        <c:lblOffset val="100"/>
        <c:noMultiLvlLbl val="0"/>
      </c:catAx>
      <c:valAx>
        <c:axId val="941915439"/>
        <c:scaling>
          <c:orientation val="minMax"/>
        </c:scaling>
        <c:delete val="1"/>
        <c:axPos val="l"/>
        <c:numFmt formatCode="General" sourceLinked="1"/>
        <c:majorTickMark val="none"/>
        <c:minorTickMark val="none"/>
        <c:tickLblPos val="nextTo"/>
        <c:crossAx val="94190214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6800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lowman</dc:creator>
  <cp:keywords/>
  <dc:description/>
  <cp:lastModifiedBy>Marinus Lourens</cp:lastModifiedBy>
  <cp:revision>2</cp:revision>
  <dcterms:created xsi:type="dcterms:W3CDTF">2022-01-26T09:07:00Z</dcterms:created>
  <dcterms:modified xsi:type="dcterms:W3CDTF">2022-01-26T09:07:00Z</dcterms:modified>
</cp:coreProperties>
</file>