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6032" w14:textId="77777777" w:rsidR="00DB11E4" w:rsidRPr="00EF16D2" w:rsidRDefault="00DB11E4" w:rsidP="00DB11E4">
      <w:pPr>
        <w:spacing w:before="58" w:after="0" w:line="240" w:lineRule="auto"/>
        <w:ind w:left="120" w:right="-20"/>
        <w:jc w:val="center"/>
        <w:rPr>
          <w:rFonts w:eastAsia="Verdana" w:cs="Verdana"/>
          <w:spacing w:val="-6"/>
          <w:sz w:val="23"/>
          <w:szCs w:val="23"/>
        </w:rPr>
      </w:pPr>
      <w:r w:rsidRPr="00EF16D2">
        <w:rPr>
          <w:rFonts w:eastAsia="Verdana" w:cs="Verdana"/>
          <w:noProof/>
          <w:spacing w:val="-6"/>
          <w:sz w:val="23"/>
          <w:szCs w:val="23"/>
          <w:lang w:val="en-ZA" w:eastAsia="en-ZA"/>
        </w:rPr>
        <w:drawing>
          <wp:inline distT="0" distB="0" distL="0" distR="0" wp14:anchorId="31BB2A5B" wp14:editId="7454A0B3">
            <wp:extent cx="2151657" cy="827729"/>
            <wp:effectExtent l="19050" t="0" r="993" b="0"/>
            <wp:docPr id="2" name="Picture 1" descr="hi-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_logo.JPG"/>
                    <pic:cNvPicPr/>
                  </pic:nvPicPr>
                  <pic:blipFill>
                    <a:blip r:embed="rId7" cstate="print"/>
                    <a:stretch>
                      <a:fillRect/>
                    </a:stretch>
                  </pic:blipFill>
                  <pic:spPr>
                    <a:xfrm>
                      <a:off x="0" y="0"/>
                      <a:ext cx="2157549" cy="829996"/>
                    </a:xfrm>
                    <a:prstGeom prst="rect">
                      <a:avLst/>
                    </a:prstGeom>
                  </pic:spPr>
                </pic:pic>
              </a:graphicData>
            </a:graphic>
          </wp:inline>
        </w:drawing>
      </w:r>
    </w:p>
    <w:p w14:paraId="45B43502" w14:textId="77777777" w:rsidR="00DB11E4" w:rsidRPr="00EF16D2" w:rsidRDefault="00DB11E4" w:rsidP="00EF16D2">
      <w:pPr>
        <w:pStyle w:val="Heading1"/>
        <w:jc w:val="center"/>
      </w:pPr>
      <w:r w:rsidRPr="00EF16D2">
        <w:t>Finance Policy</w:t>
      </w:r>
    </w:p>
    <w:p w14:paraId="2D625536" w14:textId="77777777" w:rsidR="00DB11E4" w:rsidRPr="00EF16D2" w:rsidRDefault="00DB11E4" w:rsidP="00DB11E4">
      <w:pPr>
        <w:spacing w:before="58" w:after="0" w:line="240" w:lineRule="auto"/>
        <w:ind w:right="-20"/>
        <w:jc w:val="both"/>
        <w:rPr>
          <w:rFonts w:eastAsia="Verdana" w:cs="Verdana"/>
          <w:spacing w:val="-6"/>
          <w:sz w:val="24"/>
          <w:szCs w:val="24"/>
        </w:rPr>
      </w:pPr>
      <w:r w:rsidRPr="00EF16D2">
        <w:rPr>
          <w:rFonts w:eastAsia="Verdana" w:cs="Verdana"/>
          <w:spacing w:val="-6"/>
          <w:sz w:val="24"/>
          <w:szCs w:val="24"/>
        </w:rPr>
        <w:t>Please note that a membership application/membership renewal and/or event registration is made in your personal capacity and not that of your employer. You are personally responsible for ensuring payment of any and all monies due to the Compliance Institute Southern Africa (“the Institute”).</w:t>
      </w:r>
      <w:r w:rsidR="00EF16D2">
        <w:rPr>
          <w:rFonts w:eastAsia="Verdana" w:cs="Verdana"/>
          <w:spacing w:val="-6"/>
          <w:sz w:val="24"/>
          <w:szCs w:val="24"/>
        </w:rPr>
        <w:br/>
      </w:r>
    </w:p>
    <w:p w14:paraId="306BB709" w14:textId="77777777" w:rsidR="00DB11E4" w:rsidRPr="00EF16D2" w:rsidRDefault="00DB11E4" w:rsidP="00EF16D2">
      <w:pPr>
        <w:pStyle w:val="Heading1"/>
      </w:pPr>
      <w:r w:rsidRPr="00EF16D2">
        <w:t>Payment Ter</w:t>
      </w:r>
      <w:r w:rsidR="00EF16D2">
        <w:t>ms for</w:t>
      </w:r>
      <w:r w:rsidR="000A5C9E">
        <w:t xml:space="preserve"> EVENTS -</w:t>
      </w:r>
      <w:r w:rsidR="00EF16D2">
        <w:t xml:space="preserve"> Conferences, Courses,</w:t>
      </w:r>
      <w:r w:rsidRPr="00EF16D2">
        <w:t xml:space="preserve"> </w:t>
      </w:r>
      <w:r w:rsidR="000A5C9E">
        <w:t>(CLASSROOM AND WEB-BASED), Workshops</w:t>
      </w:r>
    </w:p>
    <w:p w14:paraId="2F599383" w14:textId="77777777" w:rsidR="00DB11E4" w:rsidRPr="00EF16D2"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 xml:space="preserve">Payment terms are strictly on </w:t>
      </w:r>
      <w:r w:rsidR="00EF16D2">
        <w:rPr>
          <w:rFonts w:eastAsia="Verdana" w:cs="Verdana"/>
          <w:b/>
          <w:spacing w:val="5"/>
          <w:sz w:val="23"/>
          <w:szCs w:val="23"/>
        </w:rPr>
        <w:t>presentation</w:t>
      </w:r>
      <w:r w:rsidRPr="00EF16D2">
        <w:rPr>
          <w:rFonts w:eastAsia="Verdana" w:cs="Verdana"/>
          <w:spacing w:val="5"/>
          <w:sz w:val="23"/>
          <w:szCs w:val="23"/>
        </w:rPr>
        <w:t xml:space="preserve"> of invoice. </w:t>
      </w:r>
    </w:p>
    <w:p w14:paraId="1A7CC7C2" w14:textId="77777777" w:rsidR="00DB11E4" w:rsidRPr="00EF16D2"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No exceptions will be considered.</w:t>
      </w:r>
    </w:p>
    <w:p w14:paraId="400815AC" w14:textId="77777777" w:rsidR="00DB11E4" w:rsidRPr="00EF16D2" w:rsidRDefault="00DB11E4" w:rsidP="00DB11E4">
      <w:pPr>
        <w:pStyle w:val="ListParagraph"/>
        <w:numPr>
          <w:ilvl w:val="0"/>
          <w:numId w:val="1"/>
        </w:numPr>
        <w:tabs>
          <w:tab w:val="left" w:pos="820"/>
        </w:tabs>
        <w:spacing w:before="1" w:after="0" w:line="255" w:lineRule="auto"/>
        <w:ind w:left="426" w:right="51" w:hanging="426"/>
        <w:jc w:val="both"/>
        <w:rPr>
          <w:rFonts w:eastAsia="Arial" w:cs="Arial"/>
          <w:spacing w:val="3"/>
          <w:sz w:val="23"/>
          <w:szCs w:val="23"/>
        </w:rPr>
      </w:pPr>
      <w:r w:rsidRPr="00EF16D2">
        <w:rPr>
          <w:rFonts w:eastAsia="Verdana" w:cs="Verdana"/>
          <w:spacing w:val="5"/>
          <w:sz w:val="23"/>
          <w:szCs w:val="23"/>
        </w:rPr>
        <w:t xml:space="preserve">Delegates </w:t>
      </w:r>
      <w:r w:rsidR="00EF16D2">
        <w:rPr>
          <w:rFonts w:eastAsia="Verdana" w:cs="Verdana"/>
          <w:b/>
          <w:spacing w:val="5"/>
          <w:sz w:val="23"/>
          <w:szCs w:val="23"/>
        </w:rPr>
        <w:t>will not be allowed to attend</w:t>
      </w:r>
      <w:r w:rsidRPr="00EF16D2">
        <w:rPr>
          <w:rFonts w:eastAsia="Verdana" w:cs="Verdana"/>
          <w:spacing w:val="5"/>
          <w:sz w:val="23"/>
          <w:szCs w:val="23"/>
        </w:rPr>
        <w:t xml:space="preserve"> unless payment is received in full before commencement of the event.   </w:t>
      </w:r>
    </w:p>
    <w:p w14:paraId="11344A2B" w14:textId="77777777" w:rsidR="00DB11E4"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 xml:space="preserve">Any event fee still outstanding after </w:t>
      </w:r>
      <w:r w:rsidRPr="00EF16D2">
        <w:rPr>
          <w:rFonts w:eastAsia="Verdana" w:cs="Verdana"/>
          <w:b/>
          <w:spacing w:val="5"/>
          <w:sz w:val="23"/>
          <w:szCs w:val="23"/>
        </w:rPr>
        <w:t>30 calendar days</w:t>
      </w:r>
      <w:r w:rsidRPr="00EF16D2">
        <w:rPr>
          <w:rFonts w:eastAsia="Verdana" w:cs="Verdana"/>
          <w:spacing w:val="5"/>
          <w:sz w:val="23"/>
          <w:szCs w:val="23"/>
        </w:rPr>
        <w:t xml:space="preserve"> from date of invoice will result in the </w:t>
      </w:r>
      <w:r w:rsidR="00EF16D2">
        <w:rPr>
          <w:rFonts w:eastAsia="Verdana" w:cs="Verdana"/>
          <w:spacing w:val="5"/>
          <w:sz w:val="23"/>
          <w:szCs w:val="23"/>
        </w:rPr>
        <w:t>suspension of the membership/account.</w:t>
      </w:r>
    </w:p>
    <w:p w14:paraId="1E0E0F91" w14:textId="77777777" w:rsidR="00EF16D2" w:rsidRPr="00EF16D2" w:rsidRDefault="00EF16D2"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An event invoice still outstanding after 60 days from the date of invoice will result in the account being handed over for collection</w:t>
      </w:r>
      <w:r>
        <w:rPr>
          <w:rFonts w:eastAsia="Verdana" w:cs="Verdana"/>
          <w:spacing w:val="5"/>
          <w:sz w:val="23"/>
          <w:szCs w:val="23"/>
        </w:rPr>
        <w:t>.</w:t>
      </w:r>
    </w:p>
    <w:p w14:paraId="1C77ED24" w14:textId="77777777" w:rsidR="00DB11E4" w:rsidRPr="00EF16D2"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 xml:space="preserve">The Institute will </w:t>
      </w:r>
      <w:proofErr w:type="spellStart"/>
      <w:r w:rsidRPr="00EF16D2">
        <w:rPr>
          <w:rFonts w:eastAsia="Verdana" w:cs="Verdana"/>
          <w:spacing w:val="5"/>
          <w:sz w:val="23"/>
          <w:szCs w:val="23"/>
        </w:rPr>
        <w:t>endeavour</w:t>
      </w:r>
      <w:proofErr w:type="spellEnd"/>
      <w:r w:rsidRPr="00EF16D2">
        <w:rPr>
          <w:rFonts w:eastAsia="Verdana" w:cs="Verdana"/>
          <w:spacing w:val="5"/>
          <w:sz w:val="23"/>
          <w:szCs w:val="23"/>
        </w:rPr>
        <w:t xml:space="preserve"> to accommodate reasonable requests to complete supplier/vendor registration forms.  However, the delegate must ensure that this request is made in sufficient time for payment to be made in full before the event.  </w:t>
      </w:r>
    </w:p>
    <w:p w14:paraId="3FD15226" w14:textId="77777777" w:rsidR="00DB11E4" w:rsidRPr="00EF16D2"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 xml:space="preserve">Completion of the supplier/vendor registration forms MUST </w:t>
      </w:r>
      <w:r w:rsidR="00333151">
        <w:rPr>
          <w:rFonts w:eastAsia="Verdana" w:cs="Verdana"/>
          <w:spacing w:val="5"/>
          <w:sz w:val="23"/>
          <w:szCs w:val="23"/>
        </w:rPr>
        <w:t>NOT</w:t>
      </w:r>
      <w:r w:rsidRPr="00EF16D2">
        <w:rPr>
          <w:rFonts w:eastAsia="Verdana" w:cs="Verdana"/>
          <w:spacing w:val="5"/>
          <w:sz w:val="23"/>
          <w:szCs w:val="23"/>
        </w:rPr>
        <w:t xml:space="preserve"> be construed as an exception to the requirement for full payment before the event.  </w:t>
      </w:r>
    </w:p>
    <w:p w14:paraId="5C494E00" w14:textId="77777777" w:rsidR="00DB11E4" w:rsidRPr="00EF16D2" w:rsidRDefault="00DB11E4" w:rsidP="00DB11E4">
      <w:pPr>
        <w:pStyle w:val="ListParagraph"/>
        <w:numPr>
          <w:ilvl w:val="0"/>
          <w:numId w:val="1"/>
        </w:numPr>
        <w:ind w:left="426" w:hanging="426"/>
        <w:rPr>
          <w:rFonts w:eastAsia="Verdana" w:cs="Verdana"/>
          <w:b/>
          <w:spacing w:val="5"/>
          <w:sz w:val="23"/>
          <w:szCs w:val="23"/>
        </w:rPr>
      </w:pPr>
      <w:r w:rsidRPr="00EF16D2">
        <w:rPr>
          <w:rFonts w:eastAsia="Verdana" w:cs="Verdana"/>
          <w:spacing w:val="5"/>
          <w:sz w:val="23"/>
          <w:szCs w:val="23"/>
        </w:rPr>
        <w:t>Requests to complete supplier/vendor registration forms will NOT be accepted after the</w:t>
      </w:r>
      <w:r w:rsidRPr="00EF16D2">
        <w:rPr>
          <w:rFonts w:eastAsia="Verdana" w:cs="Verdana"/>
          <w:b/>
          <w:spacing w:val="5"/>
          <w:sz w:val="23"/>
          <w:szCs w:val="23"/>
        </w:rPr>
        <w:t xml:space="preserve"> </w:t>
      </w:r>
      <w:r w:rsidRPr="00EF16D2">
        <w:rPr>
          <w:rFonts w:eastAsia="Verdana" w:cs="Verdana"/>
          <w:spacing w:val="5"/>
          <w:sz w:val="23"/>
          <w:szCs w:val="23"/>
        </w:rPr>
        <w:t>booking/registration has been submitted.</w:t>
      </w:r>
    </w:p>
    <w:p w14:paraId="034239CF" w14:textId="77777777" w:rsidR="00DB11E4" w:rsidRPr="00EF16D2"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Registration for an event is done in the delegate’s personal capacity and not that of the employer/third party.  Therefore</w:t>
      </w:r>
      <w:r w:rsidR="00E850E4" w:rsidRPr="00EF16D2">
        <w:rPr>
          <w:rFonts w:eastAsia="Verdana" w:cs="Verdana"/>
          <w:spacing w:val="5"/>
          <w:sz w:val="23"/>
          <w:szCs w:val="23"/>
        </w:rPr>
        <w:t>,</w:t>
      </w:r>
      <w:r w:rsidRPr="00EF16D2">
        <w:rPr>
          <w:rFonts w:eastAsia="Verdana" w:cs="Verdana"/>
          <w:spacing w:val="5"/>
          <w:sz w:val="23"/>
          <w:szCs w:val="23"/>
        </w:rPr>
        <w:t xml:space="preserve"> the delegate is personally responsible for payment of the invoice.</w:t>
      </w:r>
    </w:p>
    <w:p w14:paraId="1EB06B94" w14:textId="77777777" w:rsidR="00DB11E4" w:rsidRPr="00EF16D2" w:rsidRDefault="00DB11E4" w:rsidP="00DB11E4">
      <w:pPr>
        <w:pStyle w:val="ListParagraph"/>
        <w:numPr>
          <w:ilvl w:val="0"/>
          <w:numId w:val="1"/>
        </w:numPr>
        <w:spacing w:after="0" w:line="240" w:lineRule="auto"/>
        <w:ind w:left="426" w:right="-20" w:hanging="426"/>
        <w:jc w:val="both"/>
        <w:rPr>
          <w:rFonts w:eastAsia="Verdana" w:cs="Verdana"/>
          <w:spacing w:val="5"/>
          <w:sz w:val="23"/>
          <w:szCs w:val="23"/>
        </w:rPr>
      </w:pPr>
      <w:r w:rsidRPr="00EF16D2">
        <w:rPr>
          <w:rFonts w:eastAsia="Verdana" w:cs="Verdana"/>
          <w:spacing w:val="5"/>
          <w:sz w:val="23"/>
          <w:szCs w:val="23"/>
        </w:rPr>
        <w:t>Members and Non-members are personally responsible for payment of their conference, course, forum, seminar, workshop, or any other fees due to the Institute.</w:t>
      </w:r>
    </w:p>
    <w:p w14:paraId="711BDB24" w14:textId="77777777" w:rsidR="00DB11E4" w:rsidRPr="00EF16D2" w:rsidRDefault="00DB11E4" w:rsidP="00DB11E4">
      <w:pPr>
        <w:spacing w:after="0" w:line="240" w:lineRule="auto"/>
        <w:ind w:right="-20"/>
        <w:jc w:val="both"/>
        <w:rPr>
          <w:rFonts w:eastAsia="Verdana" w:cs="Verdana"/>
          <w:b/>
          <w:spacing w:val="5"/>
          <w:sz w:val="23"/>
          <w:szCs w:val="23"/>
        </w:rPr>
      </w:pPr>
    </w:p>
    <w:p w14:paraId="54B2E4C5" w14:textId="77777777" w:rsidR="00DB11E4" w:rsidRPr="00EF16D2" w:rsidRDefault="00DB11E4" w:rsidP="00DB11E4">
      <w:pPr>
        <w:spacing w:after="0" w:line="240" w:lineRule="auto"/>
        <w:ind w:right="-20"/>
        <w:jc w:val="both"/>
        <w:rPr>
          <w:rFonts w:eastAsia="Verdana" w:cs="Verdana"/>
          <w:b/>
          <w:i/>
          <w:spacing w:val="5"/>
          <w:sz w:val="23"/>
          <w:szCs w:val="23"/>
        </w:rPr>
      </w:pPr>
      <w:r w:rsidRPr="00EF16D2">
        <w:rPr>
          <w:rFonts w:eastAsia="Verdana" w:cs="Verdana"/>
          <w:b/>
          <w:i/>
          <w:spacing w:val="5"/>
          <w:sz w:val="23"/>
          <w:szCs w:val="23"/>
        </w:rPr>
        <w:t>Cancellation fees apply to all events - please r</w:t>
      </w:r>
      <w:r w:rsidR="00EF16D2">
        <w:rPr>
          <w:rFonts w:eastAsia="Verdana" w:cs="Verdana"/>
          <w:b/>
          <w:i/>
          <w:spacing w:val="5"/>
          <w:sz w:val="23"/>
          <w:szCs w:val="23"/>
        </w:rPr>
        <w:t xml:space="preserve">efer to the Cancellation Policy </w:t>
      </w:r>
      <w:proofErr w:type="spellStart"/>
      <w:r w:rsidR="00EF16D2">
        <w:rPr>
          <w:rFonts w:eastAsia="Verdana" w:cs="Verdana"/>
          <w:b/>
          <w:i/>
          <w:spacing w:val="5"/>
          <w:sz w:val="23"/>
          <w:szCs w:val="23"/>
        </w:rPr>
        <w:t>and</w:t>
      </w:r>
      <w:r w:rsidRPr="00EF16D2">
        <w:rPr>
          <w:rFonts w:eastAsia="Verdana" w:cs="Verdana"/>
          <w:b/>
          <w:i/>
          <w:spacing w:val="5"/>
          <w:sz w:val="23"/>
          <w:szCs w:val="23"/>
        </w:rPr>
        <w:t>Terms</w:t>
      </w:r>
      <w:proofErr w:type="spellEnd"/>
      <w:r w:rsidRPr="00EF16D2">
        <w:rPr>
          <w:rFonts w:eastAsia="Verdana" w:cs="Verdana"/>
          <w:b/>
          <w:i/>
          <w:spacing w:val="5"/>
          <w:sz w:val="23"/>
          <w:szCs w:val="23"/>
        </w:rPr>
        <w:t xml:space="preserve"> and Conditions for each Event. </w:t>
      </w:r>
    </w:p>
    <w:p w14:paraId="6DFF3A99" w14:textId="77777777" w:rsidR="00DB11E4" w:rsidRPr="00EF16D2" w:rsidRDefault="00DB11E4" w:rsidP="00DB11E4">
      <w:pPr>
        <w:spacing w:after="0" w:line="240" w:lineRule="auto"/>
        <w:ind w:right="-20"/>
        <w:jc w:val="both"/>
        <w:rPr>
          <w:rFonts w:eastAsia="Verdana" w:cs="Verdana"/>
          <w:b/>
          <w:spacing w:val="5"/>
          <w:sz w:val="23"/>
          <w:szCs w:val="23"/>
        </w:rPr>
      </w:pPr>
    </w:p>
    <w:p w14:paraId="6F65E7B7" w14:textId="77777777" w:rsidR="00DB11E4" w:rsidRPr="00EF16D2" w:rsidRDefault="00DB11E4" w:rsidP="00DB11E4">
      <w:pPr>
        <w:spacing w:after="0" w:line="240" w:lineRule="auto"/>
        <w:ind w:left="709" w:right="-20" w:hanging="589"/>
        <w:jc w:val="both"/>
        <w:rPr>
          <w:rFonts w:eastAsia="Verdana" w:cs="Verdana"/>
          <w:spacing w:val="5"/>
          <w:sz w:val="23"/>
          <w:szCs w:val="23"/>
        </w:rPr>
      </w:pPr>
      <w:bookmarkStart w:id="0" w:name="_GoBack"/>
      <w:bookmarkEnd w:id="0"/>
    </w:p>
    <w:p w14:paraId="33775669" w14:textId="77777777" w:rsidR="00DB11E4" w:rsidRPr="00EF16D2" w:rsidRDefault="00DB11E4" w:rsidP="00DB11E4">
      <w:pPr>
        <w:spacing w:after="0" w:line="240" w:lineRule="auto"/>
        <w:ind w:left="360" w:right="-20"/>
        <w:jc w:val="both"/>
        <w:rPr>
          <w:sz w:val="23"/>
          <w:szCs w:val="23"/>
          <w:shd w:val="clear" w:color="auto" w:fill="FFFFFF"/>
        </w:rPr>
      </w:pPr>
    </w:p>
    <w:p w14:paraId="043AC899" w14:textId="77777777" w:rsidR="00DB11E4" w:rsidRPr="00EF16D2" w:rsidRDefault="00DB11E4" w:rsidP="00DB11E4">
      <w:pPr>
        <w:pStyle w:val="ListParagraph"/>
        <w:tabs>
          <w:tab w:val="left" w:pos="426"/>
        </w:tabs>
        <w:spacing w:after="0" w:line="240" w:lineRule="auto"/>
        <w:ind w:left="426" w:right="-20"/>
        <w:jc w:val="both"/>
        <w:rPr>
          <w:sz w:val="23"/>
          <w:szCs w:val="23"/>
        </w:rPr>
      </w:pPr>
    </w:p>
    <w:p w14:paraId="5E2E4FE0" w14:textId="77777777" w:rsidR="00DB11E4" w:rsidRPr="00EF16D2" w:rsidRDefault="00DB11E4"/>
    <w:sectPr w:rsidR="00DB11E4" w:rsidRPr="00EF16D2" w:rsidSect="00DB11E4">
      <w:headerReference w:type="even" r:id="rId8"/>
      <w:headerReference w:type="default" r:id="rId9"/>
      <w:footerReference w:type="even" r:id="rId10"/>
      <w:footerReference w:type="default" r:id="rId11"/>
      <w:headerReference w:type="first" r:id="rId12"/>
      <w:footerReference w:type="first" r:id="rId13"/>
      <w:pgSz w:w="11920" w:h="16860"/>
      <w:pgMar w:top="138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1D3B" w14:textId="77777777" w:rsidR="009477C8" w:rsidRDefault="009477C8">
      <w:pPr>
        <w:spacing w:after="0" w:line="240" w:lineRule="auto"/>
      </w:pPr>
      <w:r>
        <w:separator/>
      </w:r>
    </w:p>
  </w:endnote>
  <w:endnote w:type="continuationSeparator" w:id="0">
    <w:p w14:paraId="2D14434E" w14:textId="77777777" w:rsidR="009477C8" w:rsidRDefault="0094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8391" w14:textId="77777777" w:rsidR="008C4D6E" w:rsidRDefault="0094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7A1B" w14:textId="77777777" w:rsidR="000763A2" w:rsidRPr="00701F5B" w:rsidRDefault="00E850E4">
    <w:pPr>
      <w:pStyle w:val="Footer"/>
      <w:rPr>
        <w:color w:val="808080" w:themeColor="background1" w:themeShade="80"/>
        <w:sz w:val="16"/>
        <w:szCs w:val="16"/>
      </w:rPr>
    </w:pPr>
    <w:r w:rsidRPr="00701F5B">
      <w:rPr>
        <w:color w:val="808080" w:themeColor="background1" w:themeShade="80"/>
        <w:sz w:val="16"/>
        <w:szCs w:val="16"/>
      </w:rPr>
      <w:t>_____________________________________</w:t>
    </w:r>
    <w:r>
      <w:rPr>
        <w:color w:val="808080" w:themeColor="background1" w:themeShade="80"/>
        <w:sz w:val="16"/>
        <w:szCs w:val="16"/>
      </w:rPr>
      <w:t>_______________________________</w:t>
    </w:r>
    <w:r w:rsidRPr="00701F5B">
      <w:rPr>
        <w:color w:val="808080" w:themeColor="background1" w:themeShade="80"/>
        <w:sz w:val="16"/>
        <w:szCs w:val="16"/>
      </w:rPr>
      <w:t>_______________________________________________COMPLIANCE INSTITUTE SA</w:t>
    </w:r>
  </w:p>
  <w:p w14:paraId="62E43E77" w14:textId="77777777" w:rsidR="00F86DC2" w:rsidRPr="00701F5B" w:rsidRDefault="00E850E4">
    <w:pPr>
      <w:pStyle w:val="Footer"/>
      <w:rPr>
        <w:color w:val="808080" w:themeColor="background1" w:themeShade="80"/>
        <w:sz w:val="16"/>
        <w:szCs w:val="16"/>
      </w:rPr>
    </w:pPr>
    <w:r>
      <w:rPr>
        <w:color w:val="808080" w:themeColor="background1" w:themeShade="80"/>
        <w:sz w:val="16"/>
        <w:szCs w:val="16"/>
      </w:rPr>
      <w:t xml:space="preserve">FINANCE POLICY </w:t>
    </w:r>
  </w:p>
  <w:p w14:paraId="693D4135" w14:textId="77777777" w:rsidR="000763A2" w:rsidRDefault="00947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0A0B" w14:textId="77777777" w:rsidR="008C4D6E" w:rsidRDefault="0094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51AA" w14:textId="77777777" w:rsidR="009477C8" w:rsidRDefault="009477C8">
      <w:pPr>
        <w:spacing w:after="0" w:line="240" w:lineRule="auto"/>
      </w:pPr>
      <w:r>
        <w:separator/>
      </w:r>
    </w:p>
  </w:footnote>
  <w:footnote w:type="continuationSeparator" w:id="0">
    <w:p w14:paraId="1C5A75D5" w14:textId="77777777" w:rsidR="009477C8" w:rsidRDefault="0094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A49E" w14:textId="77777777" w:rsidR="008C4D6E" w:rsidRDefault="0094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DFCB" w14:textId="77777777" w:rsidR="000A1612" w:rsidRDefault="009477C8" w:rsidP="00624B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844B" w14:textId="77777777" w:rsidR="008C4D6E" w:rsidRDefault="0094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62E"/>
    <w:multiLevelType w:val="hybridMultilevel"/>
    <w:tmpl w:val="C17E8DBC"/>
    <w:lvl w:ilvl="0" w:tplc="606C99C8">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DE0723"/>
    <w:multiLevelType w:val="hybridMultilevel"/>
    <w:tmpl w:val="708071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017BFE"/>
    <w:multiLevelType w:val="hybridMultilevel"/>
    <w:tmpl w:val="1B5E39B0"/>
    <w:lvl w:ilvl="0" w:tplc="194A6B12">
      <w:start w:val="1"/>
      <w:numFmt w:val="decimal"/>
      <w:lvlText w:val="%1."/>
      <w:lvlJc w:val="left"/>
      <w:pPr>
        <w:ind w:left="708" w:hanging="588"/>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E4"/>
    <w:rsid w:val="00002B00"/>
    <w:rsid w:val="000A5C9E"/>
    <w:rsid w:val="00333151"/>
    <w:rsid w:val="00492254"/>
    <w:rsid w:val="004C3A22"/>
    <w:rsid w:val="0062198B"/>
    <w:rsid w:val="007B4087"/>
    <w:rsid w:val="0088308B"/>
    <w:rsid w:val="008E1F37"/>
    <w:rsid w:val="008F4FBC"/>
    <w:rsid w:val="009477C8"/>
    <w:rsid w:val="00C30052"/>
    <w:rsid w:val="00C36884"/>
    <w:rsid w:val="00C66524"/>
    <w:rsid w:val="00DB11E4"/>
    <w:rsid w:val="00E850E4"/>
    <w:rsid w:val="00EF16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02FA"/>
  <w15:chartTrackingRefBased/>
  <w15:docId w15:val="{B6876BC5-6BCD-4CA2-9C68-636E4922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1E4"/>
    <w:pPr>
      <w:widowControl w:val="0"/>
      <w:spacing w:after="200" w:line="276" w:lineRule="auto"/>
    </w:pPr>
    <w:rPr>
      <w:lang w:val="en-US"/>
    </w:rPr>
  </w:style>
  <w:style w:type="paragraph" w:styleId="Heading1">
    <w:name w:val="heading 1"/>
    <w:basedOn w:val="Normal"/>
    <w:next w:val="Normal"/>
    <w:link w:val="Heading1Char"/>
    <w:uiPriority w:val="9"/>
    <w:qFormat/>
    <w:rsid w:val="00DB11E4"/>
    <w:pPr>
      <w:keepNext/>
      <w:keepLines/>
      <w:spacing w:before="240" w:after="0"/>
      <w:outlineLvl w:val="0"/>
    </w:pPr>
    <w:rPr>
      <w:rFonts w:ascii="Calibri" w:eastAsiaTheme="majorEastAsia" w:hAnsi="Calibri" w:cstheme="majorBidi"/>
      <w:b/>
      <w:caps/>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E4"/>
    <w:rPr>
      <w:rFonts w:ascii="Calibri" w:eastAsiaTheme="majorEastAsia" w:hAnsi="Calibri" w:cstheme="majorBidi"/>
      <w:b/>
      <w:caps/>
      <w:color w:val="2F5496" w:themeColor="accent1" w:themeShade="BF"/>
      <w:sz w:val="28"/>
      <w:szCs w:val="32"/>
      <w:lang w:val="en-US"/>
    </w:rPr>
  </w:style>
  <w:style w:type="paragraph" w:styleId="ListParagraph">
    <w:name w:val="List Paragraph"/>
    <w:basedOn w:val="Normal"/>
    <w:uiPriority w:val="34"/>
    <w:qFormat/>
    <w:rsid w:val="00DB11E4"/>
    <w:pPr>
      <w:ind w:left="720"/>
      <w:contextualSpacing/>
    </w:pPr>
  </w:style>
  <w:style w:type="paragraph" w:styleId="Header">
    <w:name w:val="header"/>
    <w:basedOn w:val="Normal"/>
    <w:link w:val="HeaderChar"/>
    <w:uiPriority w:val="99"/>
    <w:unhideWhenUsed/>
    <w:rsid w:val="00DB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E4"/>
    <w:rPr>
      <w:lang w:val="en-US"/>
    </w:rPr>
  </w:style>
  <w:style w:type="paragraph" w:styleId="Footer">
    <w:name w:val="footer"/>
    <w:basedOn w:val="Normal"/>
    <w:link w:val="FooterChar"/>
    <w:uiPriority w:val="99"/>
    <w:unhideWhenUsed/>
    <w:rsid w:val="00DB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E4"/>
    <w:rPr>
      <w:lang w:val="en-US"/>
    </w:rPr>
  </w:style>
  <w:style w:type="character" w:styleId="IntenseEmphasis">
    <w:name w:val="Intense Emphasis"/>
    <w:basedOn w:val="DefaultParagraphFont"/>
    <w:uiPriority w:val="21"/>
    <w:qFormat/>
    <w:rsid w:val="00EF16D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Cholwich</dc:creator>
  <cp:keywords/>
  <dc:description/>
  <cp:lastModifiedBy>CISA 1</cp:lastModifiedBy>
  <cp:revision>2</cp:revision>
  <dcterms:created xsi:type="dcterms:W3CDTF">2018-11-27T10:55:00Z</dcterms:created>
  <dcterms:modified xsi:type="dcterms:W3CDTF">2018-11-27T10:55:00Z</dcterms:modified>
</cp:coreProperties>
</file>