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CB41" w14:textId="6C0941A7" w:rsidR="005B3365" w:rsidRPr="005B3365" w:rsidRDefault="005B3365">
      <w:pPr>
        <w:rPr>
          <w:b/>
          <w:sz w:val="24"/>
          <w:szCs w:val="24"/>
          <w:lang w:val="en-US"/>
        </w:rPr>
      </w:pPr>
      <w:r w:rsidRPr="005B3365">
        <w:rPr>
          <w:b/>
          <w:sz w:val="24"/>
          <w:szCs w:val="24"/>
          <w:lang w:val="en-US"/>
        </w:rPr>
        <w:t>Standard Bank</w:t>
      </w:r>
      <w:bookmarkStart w:id="0" w:name="_GoBack"/>
      <w:bookmarkEnd w:id="0"/>
    </w:p>
    <w:p w14:paraId="3A2893FC" w14:textId="670284A2" w:rsidR="005B3365" w:rsidRPr="005B3365" w:rsidRDefault="005B3365">
      <w:pPr>
        <w:rPr>
          <w:b/>
          <w:sz w:val="24"/>
          <w:szCs w:val="24"/>
          <w:lang w:val="en-US"/>
        </w:rPr>
      </w:pPr>
      <w:r w:rsidRPr="005B3365">
        <w:rPr>
          <w:b/>
          <w:sz w:val="24"/>
          <w:szCs w:val="24"/>
          <w:lang w:val="en-US"/>
        </w:rPr>
        <w:t>Position: Senior Regulatory Specialist</w:t>
      </w:r>
    </w:p>
    <w:p w14:paraId="2A21826D" w14:textId="77777777" w:rsidR="005B3365" w:rsidRDefault="005B3365">
      <w:pPr>
        <w:rPr>
          <w:b/>
          <w:lang w:val="en-US"/>
        </w:rPr>
      </w:pPr>
    </w:p>
    <w:p w14:paraId="3D28A20C" w14:textId="23525F5F" w:rsidR="00785EC1" w:rsidRPr="00A91257" w:rsidRDefault="00A91257">
      <w:pPr>
        <w:rPr>
          <w:b/>
          <w:lang w:val="en-US"/>
        </w:rPr>
      </w:pPr>
      <w:r w:rsidRPr="00A91257">
        <w:rPr>
          <w:b/>
          <w:lang w:val="en-US"/>
        </w:rPr>
        <w:t>Job Purpose:</w:t>
      </w:r>
    </w:p>
    <w:p w14:paraId="5ADD6AEB" w14:textId="77777777" w:rsidR="00A91257" w:rsidRDefault="00A91257">
      <w:pPr>
        <w:rPr>
          <w:rFonts w:ascii="Arial" w:hAnsi="Arial" w:cs="Arial"/>
          <w:sz w:val="20"/>
          <w:szCs w:val="20"/>
        </w:rPr>
      </w:pPr>
      <w:r w:rsidRPr="00A91257">
        <w:rPr>
          <w:rFonts w:ascii="Arial" w:hAnsi="Arial" w:cs="Arial"/>
          <w:sz w:val="20"/>
          <w:szCs w:val="20"/>
        </w:rPr>
        <w:t>To support the Head, Regulatory Services Centre of Excellence and the Group Chief Compliance Officer to discharge their responsibilities relating to compliance risk management as required by applicable regulatory requirements and to assist business units within the Group to comply with laws</w:t>
      </w:r>
    </w:p>
    <w:p w14:paraId="7B5B9AED" w14:textId="77777777" w:rsidR="00A91257" w:rsidRDefault="00A91257">
      <w:pPr>
        <w:rPr>
          <w:rFonts w:ascii="Arial" w:hAnsi="Arial" w:cs="Arial"/>
          <w:sz w:val="20"/>
          <w:szCs w:val="20"/>
        </w:rPr>
      </w:pPr>
    </w:p>
    <w:p w14:paraId="045362F9" w14:textId="77777777" w:rsidR="00A91257" w:rsidRPr="00A91257" w:rsidRDefault="00A91257">
      <w:pPr>
        <w:rPr>
          <w:rFonts w:ascii="Arial" w:hAnsi="Arial" w:cs="Arial"/>
          <w:b/>
          <w:sz w:val="20"/>
          <w:szCs w:val="20"/>
        </w:rPr>
      </w:pPr>
      <w:r w:rsidRPr="00A91257">
        <w:rPr>
          <w:rFonts w:ascii="Arial" w:hAnsi="Arial" w:cs="Arial"/>
          <w:b/>
          <w:sz w:val="20"/>
          <w:szCs w:val="20"/>
        </w:rPr>
        <w:t>Responsibilities:</w:t>
      </w:r>
    </w:p>
    <w:p w14:paraId="0E089B17" w14:textId="77777777" w:rsidR="00A91257" w:rsidRDefault="00A91257" w:rsidP="00A91257">
      <w:pPr>
        <w:pStyle w:val="ListParagraph"/>
        <w:numPr>
          <w:ilvl w:val="0"/>
          <w:numId w:val="1"/>
        </w:numPr>
        <w:rPr>
          <w:rFonts w:ascii="Arial" w:hAnsi="Arial" w:cs="Arial"/>
          <w:sz w:val="20"/>
          <w:szCs w:val="20"/>
        </w:rPr>
      </w:pPr>
      <w:r w:rsidRPr="00A91257">
        <w:rPr>
          <w:rFonts w:ascii="Arial" w:hAnsi="Arial" w:cs="Arial"/>
          <w:sz w:val="20"/>
          <w:szCs w:val="20"/>
        </w:rPr>
        <w:t>Expertise in regulatory development and governance</w:t>
      </w:r>
    </w:p>
    <w:sdt>
      <w:sdtPr>
        <w:rPr>
          <w:rFonts w:ascii="Arial" w:hAnsi="Arial" w:cs="Arial"/>
          <w:sz w:val="20"/>
          <w:szCs w:val="20"/>
        </w:rPr>
        <w:alias w:val="Output Group 2"/>
        <w:tag w:val="Output Group 2"/>
        <w:id w:val="3331360"/>
        <w:placeholder>
          <w:docPart w:val="0F615D4510D445EB93084D42EA5573D5"/>
        </w:placeholder>
        <w:text/>
      </w:sdtPr>
      <w:sdtEndPr/>
      <w:sdtContent>
        <w:p w14:paraId="7B327068" w14:textId="77777777" w:rsidR="00A91257" w:rsidRDefault="00A91257" w:rsidP="00A91257">
          <w:pPr>
            <w:pStyle w:val="ListParagraph"/>
            <w:numPr>
              <w:ilvl w:val="0"/>
              <w:numId w:val="1"/>
            </w:numPr>
            <w:rPr>
              <w:rFonts w:ascii="Arial" w:hAnsi="Arial" w:cs="Arial"/>
              <w:sz w:val="20"/>
              <w:szCs w:val="20"/>
            </w:rPr>
          </w:pPr>
          <w:r w:rsidRPr="00A91257">
            <w:rPr>
              <w:rFonts w:ascii="Arial" w:hAnsi="Arial" w:cs="Arial"/>
              <w:sz w:val="20"/>
              <w:szCs w:val="20"/>
            </w:rPr>
            <w:t>High-level capability in the facilitation of strategy development processes and executive engagement</w:t>
          </w:r>
        </w:p>
      </w:sdtContent>
    </w:sdt>
    <w:sdt>
      <w:sdtPr>
        <w:rPr>
          <w:rFonts w:ascii="Arial" w:hAnsi="Arial" w:cs="Arial"/>
          <w:sz w:val="20"/>
          <w:szCs w:val="20"/>
        </w:rPr>
        <w:alias w:val="Output Group 3"/>
        <w:tag w:val="Output Group 3"/>
        <w:id w:val="3331370"/>
        <w:placeholder>
          <w:docPart w:val="20836E15CD104F05A42B645C2C4513EB"/>
        </w:placeholder>
        <w:text/>
      </w:sdtPr>
      <w:sdtEndPr/>
      <w:sdtContent>
        <w:p w14:paraId="590F48AE" w14:textId="77777777" w:rsidR="00A91257" w:rsidRPr="00A91257" w:rsidRDefault="00A91257" w:rsidP="00A91257">
          <w:pPr>
            <w:pStyle w:val="ListParagraph"/>
            <w:numPr>
              <w:ilvl w:val="0"/>
              <w:numId w:val="1"/>
            </w:numPr>
            <w:rPr>
              <w:rFonts w:ascii="Arial" w:hAnsi="Arial" w:cs="Arial"/>
              <w:sz w:val="20"/>
              <w:szCs w:val="20"/>
            </w:rPr>
          </w:pPr>
          <w:r w:rsidRPr="00A91257">
            <w:rPr>
              <w:rFonts w:ascii="Arial" w:hAnsi="Arial" w:cs="Arial"/>
              <w:sz w:val="20"/>
              <w:szCs w:val="20"/>
            </w:rPr>
            <w:t>Understand, regulatory and governance frameworks and legislative contexts</w:t>
          </w:r>
        </w:p>
      </w:sdtContent>
    </w:sdt>
    <w:sdt>
      <w:sdtPr>
        <w:rPr>
          <w:rFonts w:ascii="Arial" w:hAnsi="Arial" w:cs="Arial"/>
          <w:sz w:val="20"/>
          <w:szCs w:val="20"/>
        </w:rPr>
        <w:alias w:val="Output Group 4"/>
        <w:tag w:val="Output Group 4"/>
        <w:id w:val="3331374"/>
        <w:placeholder>
          <w:docPart w:val="8D039579E8E94B59A150C1078BA19F80"/>
        </w:placeholder>
        <w:text/>
      </w:sdtPr>
      <w:sdtEndPr/>
      <w:sdtContent>
        <w:p w14:paraId="3A6421A3" w14:textId="77777777" w:rsidR="00A91257" w:rsidRPr="00A91257" w:rsidRDefault="00A91257" w:rsidP="00A91257">
          <w:pPr>
            <w:pStyle w:val="ListParagraph"/>
            <w:numPr>
              <w:ilvl w:val="0"/>
              <w:numId w:val="1"/>
            </w:numPr>
            <w:rPr>
              <w:rFonts w:ascii="Arial" w:hAnsi="Arial" w:cs="Arial"/>
              <w:sz w:val="20"/>
              <w:szCs w:val="20"/>
            </w:rPr>
          </w:pPr>
          <w:r w:rsidRPr="00A91257">
            <w:rPr>
              <w:rFonts w:ascii="Arial" w:hAnsi="Arial" w:cs="Arial"/>
              <w:sz w:val="20"/>
              <w:szCs w:val="20"/>
            </w:rPr>
            <w:t>Solid appreciation of business processes, applications, stakeholder and consumer insights</w:t>
          </w:r>
        </w:p>
      </w:sdtContent>
    </w:sdt>
    <w:sdt>
      <w:sdtPr>
        <w:rPr>
          <w:rFonts w:ascii="Arial" w:hAnsi="Arial" w:cs="Arial"/>
          <w:sz w:val="20"/>
          <w:szCs w:val="20"/>
        </w:rPr>
        <w:alias w:val="Output Group 5"/>
        <w:tag w:val="Output Group 5"/>
        <w:id w:val="3331378"/>
        <w:placeholder>
          <w:docPart w:val="3F2A230BD07E41C884C9D415C4417D2C"/>
        </w:placeholder>
        <w:text/>
      </w:sdtPr>
      <w:sdtEndPr/>
      <w:sdtContent>
        <w:p w14:paraId="2E6B4FAB" w14:textId="77777777" w:rsidR="00A91257" w:rsidRPr="00A91257" w:rsidRDefault="00A91257" w:rsidP="00A91257">
          <w:pPr>
            <w:pStyle w:val="ListParagraph"/>
            <w:numPr>
              <w:ilvl w:val="0"/>
              <w:numId w:val="1"/>
            </w:numPr>
            <w:rPr>
              <w:rFonts w:ascii="Arial" w:hAnsi="Arial" w:cs="Arial"/>
              <w:sz w:val="20"/>
              <w:szCs w:val="20"/>
            </w:rPr>
          </w:pPr>
          <w:r w:rsidRPr="00A91257">
            <w:rPr>
              <w:rFonts w:ascii="Arial" w:hAnsi="Arial" w:cs="Arial"/>
              <w:sz w:val="20"/>
              <w:szCs w:val="20"/>
            </w:rPr>
            <w:t>High-level capability in analysing complex and evolving data across multiple jurisdictions, business lines and sources</w:t>
          </w:r>
        </w:p>
      </w:sdtContent>
    </w:sdt>
    <w:p w14:paraId="65DC2AB6" w14:textId="77777777" w:rsidR="00A91257" w:rsidRDefault="00A91257" w:rsidP="00A91257">
      <w:pPr>
        <w:pStyle w:val="ListParagraph"/>
        <w:numPr>
          <w:ilvl w:val="0"/>
          <w:numId w:val="1"/>
        </w:numPr>
        <w:rPr>
          <w:rFonts w:ascii="Arial" w:hAnsi="Arial" w:cs="Arial"/>
          <w:sz w:val="20"/>
          <w:szCs w:val="20"/>
        </w:rPr>
      </w:pPr>
      <w:r>
        <w:rPr>
          <w:rFonts w:ascii="Arial" w:hAnsi="Arial" w:cs="Arial"/>
          <w:sz w:val="20"/>
          <w:szCs w:val="20"/>
        </w:rPr>
        <w:t>Substantial influencing and stakeholder management skills</w:t>
      </w:r>
    </w:p>
    <w:p w14:paraId="4A5F6EEB" w14:textId="77777777" w:rsidR="00A91257" w:rsidRDefault="00A91257" w:rsidP="00A91257">
      <w:pPr>
        <w:pStyle w:val="ListParagraph"/>
        <w:numPr>
          <w:ilvl w:val="0"/>
          <w:numId w:val="1"/>
        </w:numPr>
        <w:rPr>
          <w:rFonts w:ascii="Arial" w:hAnsi="Arial" w:cs="Arial"/>
          <w:sz w:val="20"/>
          <w:szCs w:val="20"/>
        </w:rPr>
      </w:pPr>
      <w:r>
        <w:rPr>
          <w:rFonts w:ascii="Arial" w:hAnsi="Arial" w:cs="Arial"/>
          <w:sz w:val="20"/>
          <w:szCs w:val="20"/>
        </w:rPr>
        <w:t>Excellent communication and collaboration skills</w:t>
      </w:r>
    </w:p>
    <w:p w14:paraId="4A2F0F4D" w14:textId="77777777" w:rsidR="00A91257" w:rsidRDefault="00A91257" w:rsidP="00A91257">
      <w:pPr>
        <w:pStyle w:val="ListParagraph"/>
        <w:numPr>
          <w:ilvl w:val="0"/>
          <w:numId w:val="1"/>
        </w:numPr>
        <w:rPr>
          <w:rFonts w:ascii="Arial" w:hAnsi="Arial" w:cs="Arial"/>
          <w:sz w:val="20"/>
          <w:szCs w:val="20"/>
        </w:rPr>
      </w:pPr>
      <w:r>
        <w:rPr>
          <w:rFonts w:ascii="Arial" w:hAnsi="Arial" w:cs="Arial"/>
          <w:sz w:val="20"/>
          <w:szCs w:val="20"/>
        </w:rPr>
        <w:t>High-level capability to interface with senior industry and regulatory stakeholders</w:t>
      </w:r>
    </w:p>
    <w:p w14:paraId="0A6AE653" w14:textId="77777777" w:rsidR="00A91257" w:rsidRDefault="00A91257" w:rsidP="00A91257">
      <w:pPr>
        <w:rPr>
          <w:rFonts w:ascii="Arial" w:hAnsi="Arial" w:cs="Arial"/>
          <w:sz w:val="20"/>
          <w:szCs w:val="20"/>
        </w:rPr>
      </w:pPr>
    </w:p>
    <w:p w14:paraId="4212C077" w14:textId="77777777" w:rsidR="00A91257" w:rsidRDefault="00A91257" w:rsidP="00A91257">
      <w:pPr>
        <w:rPr>
          <w:rFonts w:ascii="Arial" w:hAnsi="Arial" w:cs="Arial"/>
          <w:b/>
          <w:sz w:val="20"/>
          <w:szCs w:val="20"/>
        </w:rPr>
      </w:pPr>
      <w:r w:rsidRPr="00A91257">
        <w:rPr>
          <w:rFonts w:ascii="Arial" w:hAnsi="Arial" w:cs="Arial"/>
          <w:b/>
          <w:sz w:val="20"/>
          <w:szCs w:val="20"/>
        </w:rPr>
        <w:t>Re</w:t>
      </w:r>
      <w:r>
        <w:rPr>
          <w:rFonts w:ascii="Arial" w:hAnsi="Arial" w:cs="Arial"/>
          <w:b/>
          <w:sz w:val="20"/>
          <w:szCs w:val="20"/>
        </w:rPr>
        <w:t>quirements</w:t>
      </w:r>
      <w:r w:rsidRPr="00A91257">
        <w:rPr>
          <w:rFonts w:ascii="Arial" w:hAnsi="Arial" w:cs="Arial"/>
          <w:b/>
          <w:sz w:val="20"/>
          <w:szCs w:val="20"/>
        </w:rPr>
        <w:t>:</w:t>
      </w:r>
    </w:p>
    <w:p w14:paraId="646E658D" w14:textId="77777777" w:rsidR="00A91257" w:rsidRPr="001823F1" w:rsidRDefault="001823F1" w:rsidP="00A91257">
      <w:pPr>
        <w:pStyle w:val="ListParagraph"/>
        <w:numPr>
          <w:ilvl w:val="0"/>
          <w:numId w:val="2"/>
        </w:numPr>
        <w:rPr>
          <w:rFonts w:ascii="Arial" w:hAnsi="Arial" w:cs="Arial"/>
          <w:b/>
          <w:sz w:val="20"/>
          <w:szCs w:val="20"/>
        </w:rPr>
      </w:pPr>
      <w:r w:rsidRPr="001823F1">
        <w:rPr>
          <w:rFonts w:ascii="Arial" w:hAnsi="Arial" w:cs="Arial"/>
          <w:b/>
          <w:sz w:val="20"/>
          <w:szCs w:val="20"/>
        </w:rPr>
        <w:t>B Com LLB</w:t>
      </w:r>
    </w:p>
    <w:p w14:paraId="7A3AC7A2" w14:textId="77777777" w:rsidR="001823F1" w:rsidRPr="001823F1" w:rsidRDefault="001823F1" w:rsidP="00A91257">
      <w:pPr>
        <w:pStyle w:val="ListParagraph"/>
        <w:numPr>
          <w:ilvl w:val="0"/>
          <w:numId w:val="2"/>
        </w:numPr>
        <w:rPr>
          <w:rFonts w:ascii="Arial" w:hAnsi="Arial" w:cs="Arial"/>
          <w:b/>
          <w:sz w:val="20"/>
          <w:szCs w:val="20"/>
        </w:rPr>
      </w:pPr>
      <w:r w:rsidRPr="001823F1">
        <w:rPr>
          <w:rFonts w:ascii="Arial" w:hAnsi="Arial" w:cs="Arial"/>
          <w:color w:val="000000" w:themeColor="text1"/>
          <w:sz w:val="20"/>
          <w:szCs w:val="20"/>
        </w:rPr>
        <w:t xml:space="preserve">Minimum 8 years’ experience in a compliance function of a bank. Comprehensive understanding of the regulatory and business environment of a bank. </w:t>
      </w:r>
    </w:p>
    <w:p w14:paraId="3C0983E5" w14:textId="77777777" w:rsidR="001823F1" w:rsidRPr="001823F1" w:rsidRDefault="001823F1" w:rsidP="00A91257">
      <w:pPr>
        <w:pStyle w:val="ListParagraph"/>
        <w:numPr>
          <w:ilvl w:val="0"/>
          <w:numId w:val="2"/>
        </w:numPr>
        <w:rPr>
          <w:rFonts w:ascii="Arial" w:hAnsi="Arial" w:cs="Arial"/>
          <w:b/>
          <w:sz w:val="20"/>
          <w:szCs w:val="20"/>
        </w:rPr>
      </w:pPr>
      <w:r w:rsidRPr="001823F1">
        <w:rPr>
          <w:rFonts w:ascii="Arial" w:hAnsi="Arial" w:cs="Arial"/>
          <w:color w:val="000000" w:themeColor="text1"/>
          <w:sz w:val="20"/>
          <w:szCs w:val="20"/>
        </w:rPr>
        <w:t>Understanding of legal issues and the ability to interpret laws</w:t>
      </w:r>
    </w:p>
    <w:p w14:paraId="5415AD59" w14:textId="77777777" w:rsidR="00A91257" w:rsidRPr="001823F1" w:rsidRDefault="00A91257" w:rsidP="00A91257">
      <w:pPr>
        <w:rPr>
          <w:rFonts w:ascii="Arial" w:hAnsi="Arial" w:cs="Arial"/>
          <w:sz w:val="20"/>
          <w:szCs w:val="20"/>
        </w:rPr>
      </w:pPr>
    </w:p>
    <w:p w14:paraId="5EA82245" w14:textId="77777777" w:rsidR="00A91257" w:rsidRDefault="00A91257" w:rsidP="00A91257">
      <w:pPr>
        <w:rPr>
          <w:rFonts w:ascii="Arial" w:hAnsi="Arial" w:cs="Arial"/>
          <w:sz w:val="20"/>
          <w:szCs w:val="20"/>
        </w:rPr>
      </w:pPr>
    </w:p>
    <w:p w14:paraId="7337A354" w14:textId="77777777" w:rsidR="00A91257" w:rsidRPr="00A91257" w:rsidRDefault="00A91257" w:rsidP="00A91257">
      <w:pPr>
        <w:rPr>
          <w:rFonts w:ascii="Arial" w:hAnsi="Arial" w:cs="Arial"/>
          <w:sz w:val="20"/>
          <w:szCs w:val="20"/>
        </w:rPr>
      </w:pPr>
    </w:p>
    <w:sectPr w:rsidR="00A91257" w:rsidRPr="00A91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60BC"/>
    <w:multiLevelType w:val="hybridMultilevel"/>
    <w:tmpl w:val="A386B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4027FF7"/>
    <w:multiLevelType w:val="hybridMultilevel"/>
    <w:tmpl w:val="10BAE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57"/>
    <w:rsid w:val="001823F1"/>
    <w:rsid w:val="005B3365"/>
    <w:rsid w:val="00793E40"/>
    <w:rsid w:val="00A91257"/>
    <w:rsid w:val="00BD70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D62"/>
  <w15:chartTrackingRefBased/>
  <w15:docId w15:val="{0C7EFE78-066D-46F4-9553-E724CE92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615D4510D445EB93084D42EA5573D5"/>
        <w:category>
          <w:name w:val="General"/>
          <w:gallery w:val="placeholder"/>
        </w:category>
        <w:types>
          <w:type w:val="bbPlcHdr"/>
        </w:types>
        <w:behaviors>
          <w:behavior w:val="content"/>
        </w:behaviors>
        <w:guid w:val="{1EE0226B-327B-4FB0-8733-BBF936148831}"/>
      </w:docPartPr>
      <w:docPartBody>
        <w:p w:rsidR="007546BA" w:rsidRDefault="000F1DF6" w:rsidP="000F1DF6">
          <w:pPr>
            <w:pStyle w:val="0F615D4510D445EB93084D42EA5573D5"/>
          </w:pPr>
          <w:r w:rsidRPr="00580B54">
            <w:rPr>
              <w:rStyle w:val="PlaceholderText"/>
              <w:rFonts w:ascii="Arial Narrow" w:hAnsi="Arial Narrow" w:cs="Arial"/>
              <w:b/>
              <w:sz w:val="20"/>
              <w:szCs w:val="20"/>
            </w:rPr>
            <w:t>Click here to enter text.</w:t>
          </w:r>
        </w:p>
      </w:docPartBody>
    </w:docPart>
    <w:docPart>
      <w:docPartPr>
        <w:name w:val="20836E15CD104F05A42B645C2C4513EB"/>
        <w:category>
          <w:name w:val="General"/>
          <w:gallery w:val="placeholder"/>
        </w:category>
        <w:types>
          <w:type w:val="bbPlcHdr"/>
        </w:types>
        <w:behaviors>
          <w:behavior w:val="content"/>
        </w:behaviors>
        <w:guid w:val="{AE8260F7-2E0D-4CAF-85B6-D23B1AF29D2D}"/>
      </w:docPartPr>
      <w:docPartBody>
        <w:p w:rsidR="007546BA" w:rsidRDefault="000F1DF6" w:rsidP="000F1DF6">
          <w:pPr>
            <w:pStyle w:val="20836E15CD104F05A42B645C2C4513EB"/>
          </w:pPr>
          <w:r w:rsidRPr="00580B54">
            <w:rPr>
              <w:rStyle w:val="PlaceholderText"/>
              <w:rFonts w:ascii="Arial Narrow" w:hAnsi="Arial Narrow" w:cs="Arial"/>
              <w:b/>
              <w:sz w:val="20"/>
              <w:szCs w:val="20"/>
            </w:rPr>
            <w:t>Click here to enter text.</w:t>
          </w:r>
        </w:p>
      </w:docPartBody>
    </w:docPart>
    <w:docPart>
      <w:docPartPr>
        <w:name w:val="8D039579E8E94B59A150C1078BA19F80"/>
        <w:category>
          <w:name w:val="General"/>
          <w:gallery w:val="placeholder"/>
        </w:category>
        <w:types>
          <w:type w:val="bbPlcHdr"/>
        </w:types>
        <w:behaviors>
          <w:behavior w:val="content"/>
        </w:behaviors>
        <w:guid w:val="{33342603-EA15-4C9F-B16F-CCE27192E026}"/>
      </w:docPartPr>
      <w:docPartBody>
        <w:p w:rsidR="007546BA" w:rsidRDefault="000F1DF6" w:rsidP="000F1DF6">
          <w:pPr>
            <w:pStyle w:val="8D039579E8E94B59A150C1078BA19F80"/>
          </w:pPr>
          <w:r w:rsidRPr="00580B54">
            <w:rPr>
              <w:rStyle w:val="PlaceholderText"/>
              <w:rFonts w:ascii="Arial Narrow" w:hAnsi="Arial Narrow" w:cs="Arial"/>
              <w:b/>
              <w:sz w:val="20"/>
              <w:szCs w:val="20"/>
            </w:rPr>
            <w:t>Click here to enter text.</w:t>
          </w:r>
        </w:p>
      </w:docPartBody>
    </w:docPart>
    <w:docPart>
      <w:docPartPr>
        <w:name w:val="3F2A230BD07E41C884C9D415C4417D2C"/>
        <w:category>
          <w:name w:val="General"/>
          <w:gallery w:val="placeholder"/>
        </w:category>
        <w:types>
          <w:type w:val="bbPlcHdr"/>
        </w:types>
        <w:behaviors>
          <w:behavior w:val="content"/>
        </w:behaviors>
        <w:guid w:val="{A0B8E272-7279-41A1-AA7E-6F3848EE4A83}"/>
      </w:docPartPr>
      <w:docPartBody>
        <w:p w:rsidR="007546BA" w:rsidRDefault="000F1DF6" w:rsidP="000F1DF6">
          <w:pPr>
            <w:pStyle w:val="3F2A230BD07E41C884C9D415C4417D2C"/>
          </w:pPr>
          <w:r w:rsidRPr="00580B54">
            <w:rPr>
              <w:rStyle w:val="PlaceholderText"/>
              <w:rFonts w:ascii="Arial Narrow" w:hAnsi="Arial Narrow" w:cs="Arial"/>
              <w:b/>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F6"/>
    <w:rsid w:val="000F1DF6"/>
    <w:rsid w:val="007546BA"/>
    <w:rsid w:val="007D3D04"/>
    <w:rsid w:val="00ED23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DF6"/>
    <w:rPr>
      <w:color w:val="808080"/>
    </w:rPr>
  </w:style>
  <w:style w:type="paragraph" w:customStyle="1" w:styleId="0F615D4510D445EB93084D42EA5573D5">
    <w:name w:val="0F615D4510D445EB93084D42EA5573D5"/>
    <w:rsid w:val="000F1DF6"/>
  </w:style>
  <w:style w:type="paragraph" w:customStyle="1" w:styleId="20836E15CD104F05A42B645C2C4513EB">
    <w:name w:val="20836E15CD104F05A42B645C2C4513EB"/>
    <w:rsid w:val="000F1DF6"/>
  </w:style>
  <w:style w:type="paragraph" w:customStyle="1" w:styleId="8D039579E8E94B59A150C1078BA19F80">
    <w:name w:val="8D039579E8E94B59A150C1078BA19F80"/>
    <w:rsid w:val="000F1DF6"/>
  </w:style>
  <w:style w:type="paragraph" w:customStyle="1" w:styleId="E840CE3CCBA24AD8B07E40B52D8149E6">
    <w:name w:val="E840CE3CCBA24AD8B07E40B52D8149E6"/>
    <w:rsid w:val="000F1DF6"/>
  </w:style>
  <w:style w:type="paragraph" w:customStyle="1" w:styleId="3F2A230BD07E41C884C9D415C4417D2C">
    <w:name w:val="3F2A230BD07E41C884C9D415C4417D2C"/>
    <w:rsid w:val="000F1DF6"/>
  </w:style>
  <w:style w:type="paragraph" w:customStyle="1" w:styleId="7B95A45DB5E24DAB82142960327757AF">
    <w:name w:val="7B95A45DB5E24DAB82142960327757AF"/>
    <w:rsid w:val="000F1DF6"/>
  </w:style>
  <w:style w:type="paragraph" w:customStyle="1" w:styleId="2F685D9E92104BBEA398E1FE3296593C">
    <w:name w:val="2F685D9E92104BBEA398E1FE3296593C"/>
    <w:rsid w:val="000F1DF6"/>
  </w:style>
  <w:style w:type="paragraph" w:customStyle="1" w:styleId="16AC1BDA9FB74062A764FB1B0BCCC14F">
    <w:name w:val="16AC1BDA9FB74062A764FB1B0BCCC14F"/>
    <w:rsid w:val="000F1DF6"/>
  </w:style>
  <w:style w:type="paragraph" w:customStyle="1" w:styleId="2F0B828504BB498D8B647C48C1BC4BD8">
    <w:name w:val="2F0B828504BB498D8B647C48C1BC4BD8"/>
    <w:rsid w:val="000F1DF6"/>
  </w:style>
  <w:style w:type="paragraph" w:customStyle="1" w:styleId="B814DA3DB6944C8BA77ACF28E011A29D">
    <w:name w:val="B814DA3DB6944C8BA77ACF28E011A29D"/>
    <w:rsid w:val="000F1DF6"/>
  </w:style>
  <w:style w:type="paragraph" w:customStyle="1" w:styleId="C26F8C241ACB4E03A73E4A0E3F9C2A0B">
    <w:name w:val="C26F8C241ACB4E03A73E4A0E3F9C2A0B"/>
    <w:rsid w:val="000F1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Chatrooghoon, Isai I</dc:creator>
  <cp:keywords/>
  <dc:description/>
  <cp:lastModifiedBy>Thokozani Manqele</cp:lastModifiedBy>
  <cp:revision>2</cp:revision>
  <dcterms:created xsi:type="dcterms:W3CDTF">2019-10-25T10:26:00Z</dcterms:created>
  <dcterms:modified xsi:type="dcterms:W3CDTF">2019-10-25T10:26:00Z</dcterms:modified>
</cp:coreProperties>
</file>